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0B" w:rsidRDefault="00E2400B" w:rsidP="00E2400B">
      <w:pPr>
        <w:rPr>
          <w:rFonts w:ascii="Calibri" w:hAnsi="Calibri"/>
          <w:color w:val="1F497D"/>
          <w:sz w:val="22"/>
          <w:szCs w:val="22"/>
        </w:rPr>
      </w:pPr>
      <w:proofErr w:type="gramStart"/>
      <w:r>
        <w:rPr>
          <w:rFonts w:ascii="Calibri" w:hAnsi="Calibri"/>
          <w:color w:val="1F497D"/>
          <w:sz w:val="22"/>
          <w:szCs w:val="22"/>
        </w:rPr>
        <w:t>For the newsletter…</w:t>
      </w:r>
      <w:proofErr w:type="gramEnd"/>
    </w:p>
    <w:p w:rsidR="00E2400B" w:rsidRDefault="00E2400B" w:rsidP="00E2400B">
      <w:pPr>
        <w:rPr>
          <w:rFonts w:ascii="Calibri" w:hAnsi="Calibri"/>
          <w:color w:val="1F497D"/>
          <w:sz w:val="22"/>
          <w:szCs w:val="22"/>
        </w:rPr>
      </w:pPr>
    </w:p>
    <w:p w:rsidR="00E2400B" w:rsidRDefault="00E2400B" w:rsidP="00E2400B">
      <w:pPr>
        <w:spacing w:after="240"/>
        <w:rPr>
          <w:rFonts w:ascii="Arial" w:hAnsi="Arial" w:cs="Arial"/>
          <w:color w:val="1F497D"/>
          <w:sz w:val="20"/>
          <w:szCs w:val="20"/>
        </w:rPr>
      </w:pPr>
      <w:r>
        <w:rPr>
          <w:rFonts w:ascii="Arial" w:hAnsi="Arial" w:cs="Arial"/>
          <w:color w:val="1F497D"/>
          <w:sz w:val="20"/>
          <w:szCs w:val="20"/>
        </w:rPr>
        <w:t>Charlotte LaSasso</w:t>
      </w:r>
      <w:r>
        <w:rPr>
          <w:rFonts w:ascii="Arial" w:hAnsi="Arial" w:cs="Arial"/>
          <w:color w:val="1F497D"/>
          <w:sz w:val="20"/>
          <w:szCs w:val="20"/>
        </w:rPr>
        <w:br/>
        <w:t>Executive Director</w:t>
      </w:r>
      <w:r>
        <w:rPr>
          <w:rFonts w:ascii="Arial" w:hAnsi="Arial" w:cs="Arial"/>
          <w:color w:val="1F497D"/>
          <w:sz w:val="20"/>
          <w:szCs w:val="20"/>
        </w:rPr>
        <w:br/>
        <w:t>Boulder County Arts Alliance</w:t>
      </w:r>
      <w:r>
        <w:rPr>
          <w:rFonts w:ascii="Arial" w:hAnsi="Arial" w:cs="Arial"/>
          <w:color w:val="1F497D"/>
          <w:sz w:val="20"/>
          <w:szCs w:val="20"/>
        </w:rPr>
        <w:br/>
        <w:t>2590 Walnut St., Suite 9</w:t>
      </w:r>
      <w:r>
        <w:rPr>
          <w:rFonts w:ascii="Arial" w:hAnsi="Arial" w:cs="Arial"/>
          <w:color w:val="1F497D"/>
          <w:sz w:val="20"/>
          <w:szCs w:val="20"/>
        </w:rPr>
        <w:br/>
        <w:t>Boulder, Colorado 80302</w:t>
      </w:r>
      <w:r>
        <w:rPr>
          <w:rFonts w:ascii="Arial" w:hAnsi="Arial" w:cs="Arial"/>
          <w:color w:val="1F497D"/>
          <w:sz w:val="20"/>
          <w:szCs w:val="20"/>
        </w:rPr>
        <w:br/>
        <w:t>303-447-2422</w:t>
      </w:r>
      <w:r>
        <w:rPr>
          <w:rFonts w:ascii="Arial" w:hAnsi="Arial" w:cs="Arial"/>
          <w:color w:val="1F497D"/>
          <w:sz w:val="20"/>
          <w:szCs w:val="20"/>
        </w:rPr>
        <w:br/>
      </w:r>
      <w:hyperlink r:id="rId5" w:history="1">
        <w:r>
          <w:rPr>
            <w:rStyle w:val="Hyperlink"/>
            <w:rFonts w:ascii="Arial" w:hAnsi="Arial" w:cs="Arial"/>
            <w:sz w:val="20"/>
            <w:szCs w:val="20"/>
          </w:rPr>
          <w:t>www.bouldercountyarts.org</w:t>
        </w:r>
      </w:hyperlink>
    </w:p>
    <w:p w:rsidR="00E2400B" w:rsidRDefault="00E2400B" w:rsidP="00E2400B">
      <w:pPr>
        <w:rPr>
          <w:rFonts w:ascii="Calibri" w:hAnsi="Calibri"/>
          <w:color w:val="1F497D"/>
          <w:sz w:val="22"/>
          <w:szCs w:val="22"/>
        </w:rPr>
      </w:pPr>
    </w:p>
    <w:p w:rsidR="00E2400B" w:rsidRDefault="00E2400B" w:rsidP="00E2400B">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Hill Strategies Research [</w:t>
      </w:r>
      <w:hyperlink r:id="rId6" w:history="1">
        <w:r>
          <w:rPr>
            <w:rStyle w:val="Hyperlink"/>
            <w:rFonts w:ascii="Tahoma" w:hAnsi="Tahoma" w:cs="Tahoma"/>
            <w:sz w:val="20"/>
            <w:szCs w:val="20"/>
          </w:rPr>
          <w:t>mailto:info@hillstrategies.com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January 30, 2013 8:33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Carey </w:t>
      </w:r>
      <w:proofErr w:type="spellStart"/>
      <w:r>
        <w:rPr>
          <w:rFonts w:ascii="Tahoma" w:hAnsi="Tahoma" w:cs="Tahoma"/>
          <w:sz w:val="20"/>
          <w:szCs w:val="20"/>
        </w:rPr>
        <w:t>Southwell</w:t>
      </w:r>
      <w:proofErr w:type="spell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Arts and well-being in Canada</w:t>
      </w:r>
    </w:p>
    <w:p w:rsidR="00E2400B" w:rsidRDefault="00E2400B" w:rsidP="00E2400B"/>
    <w:p w:rsidR="00E2400B" w:rsidRDefault="00E2400B" w:rsidP="00E2400B">
      <w:r>
        <w:rPr>
          <w:noProof/>
          <w:sz w:val="20"/>
          <w:szCs w:val="20"/>
        </w:rPr>
        <w:drawing>
          <wp:inline distT="0" distB="0" distL="0" distR="0">
            <wp:extent cx="9525" cy="9525"/>
            <wp:effectExtent l="0" t="0" r="0" b="0"/>
            <wp:docPr id="1" name="Picture 1" descr="http://www.bettermail.ca/o/30/744033/9129dfbbdfb878eca8fdbbe598ecab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ttermail.ca/o/30/744033/9129dfbbdfb878eca8fdbbe598ecab3b.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2400B" w:rsidRDefault="00E2400B" w:rsidP="00E2400B">
      <w:pPr>
        <w:pStyle w:val="NormalWeb"/>
        <w:jc w:val="center"/>
      </w:pPr>
      <w:r>
        <w:rPr>
          <w:noProof/>
          <w:color w:val="0000FF"/>
        </w:rPr>
        <w:drawing>
          <wp:inline distT="0" distB="0" distL="0" distR="0">
            <wp:extent cx="2647950" cy="1419225"/>
            <wp:effectExtent l="19050" t="0" r="0" b="0"/>
            <wp:docPr id="2" name="Picture 2" descr="Hill Strategies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l Strategies logo"/>
                    <pic:cNvPicPr>
                      <a:picLocks noChangeAspect="1" noChangeArrowheads="1"/>
                    </pic:cNvPicPr>
                  </pic:nvPicPr>
                  <pic:blipFill>
                    <a:blip r:embed="rId9" cstate="print"/>
                    <a:srcRect/>
                    <a:stretch>
                      <a:fillRect/>
                    </a:stretch>
                  </pic:blipFill>
                  <pic:spPr bwMode="auto">
                    <a:xfrm>
                      <a:off x="0" y="0"/>
                      <a:ext cx="2647950" cy="1419225"/>
                    </a:xfrm>
                    <a:prstGeom prst="rect">
                      <a:avLst/>
                    </a:prstGeom>
                    <a:noFill/>
                    <a:ln w="9525">
                      <a:noFill/>
                      <a:miter lim="800000"/>
                      <a:headEnd/>
                      <a:tailEnd/>
                    </a:ln>
                  </pic:spPr>
                </pic:pic>
              </a:graphicData>
            </a:graphic>
          </wp:inline>
        </w:drawing>
      </w:r>
    </w:p>
    <w:p w:rsidR="00E2400B" w:rsidRDefault="00E2400B" w:rsidP="00E2400B">
      <w:pPr>
        <w:pStyle w:val="NormalWeb"/>
        <w:jc w:val="center"/>
      </w:pPr>
      <w:r>
        <w:rPr>
          <w:rStyle w:val="Strong"/>
          <w:rFonts w:ascii="Trebuchet MS" w:hAnsi="Trebuchet MS"/>
          <w:color w:val="000080"/>
          <w:sz w:val="30"/>
          <w:szCs w:val="30"/>
        </w:rPr>
        <w:t>Many arts goers have better health, higher volunteer rates,</w:t>
      </w:r>
    </w:p>
    <w:p w:rsidR="00E2400B" w:rsidRDefault="00E2400B" w:rsidP="00E2400B">
      <w:pPr>
        <w:pStyle w:val="NormalWeb"/>
        <w:jc w:val="center"/>
      </w:pPr>
      <w:proofErr w:type="gramStart"/>
      <w:r>
        <w:rPr>
          <w:rStyle w:val="Strong"/>
          <w:rFonts w:ascii="Trebuchet MS" w:hAnsi="Trebuchet MS"/>
          <w:color w:val="000080"/>
          <w:sz w:val="30"/>
          <w:szCs w:val="30"/>
        </w:rPr>
        <w:t>and</w:t>
      </w:r>
      <w:proofErr w:type="gramEnd"/>
      <w:r>
        <w:rPr>
          <w:rStyle w:val="Strong"/>
          <w:rFonts w:ascii="Trebuchet MS" w:hAnsi="Trebuchet MS"/>
          <w:color w:val="000080"/>
          <w:sz w:val="30"/>
          <w:szCs w:val="30"/>
        </w:rPr>
        <w:t xml:space="preserve"> stronger satisfaction with life: new report</w:t>
      </w:r>
    </w:p>
    <w:p w:rsidR="00E2400B" w:rsidRDefault="00E2400B" w:rsidP="00E2400B">
      <w:pPr>
        <w:pStyle w:val="NormalWeb"/>
      </w:pPr>
      <w:r>
        <w:t> </w:t>
      </w:r>
      <w:r>
        <w:rPr>
          <w:noProof/>
        </w:rPr>
        <w:drawing>
          <wp:inline distT="0" distB="0" distL="0" distR="0">
            <wp:extent cx="13220700" cy="1905000"/>
            <wp:effectExtent l="19050" t="0" r="0" b="0"/>
            <wp:docPr id="3" name="Picture 3" descr="Statistical Insights on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istical Insights on the Arts"/>
                    <pic:cNvPicPr>
                      <a:picLocks noChangeAspect="1" noChangeArrowheads="1"/>
                    </pic:cNvPicPr>
                  </pic:nvPicPr>
                  <pic:blipFill>
                    <a:blip r:embed="rId10" cstate="print"/>
                    <a:srcRect/>
                    <a:stretch>
                      <a:fillRect/>
                    </a:stretch>
                  </pic:blipFill>
                  <pic:spPr bwMode="auto">
                    <a:xfrm>
                      <a:off x="0" y="0"/>
                      <a:ext cx="13220700" cy="1905000"/>
                    </a:xfrm>
                    <a:prstGeom prst="rect">
                      <a:avLst/>
                    </a:prstGeom>
                    <a:noFill/>
                    <a:ln w="9525">
                      <a:noFill/>
                      <a:miter lim="800000"/>
                      <a:headEnd/>
                      <a:tailEnd/>
                    </a:ln>
                  </pic:spPr>
                </pic:pic>
              </a:graphicData>
            </a:graphic>
          </wp:inline>
        </w:drawing>
      </w:r>
    </w:p>
    <w:p w:rsidR="00E2400B" w:rsidRDefault="00E2400B" w:rsidP="00E2400B">
      <w:pPr>
        <w:pStyle w:val="NormalWeb"/>
      </w:pPr>
      <w:r>
        <w:rPr>
          <w:rStyle w:val="Emphasis"/>
          <w:rFonts w:ascii="Arial" w:hAnsi="Arial" w:cs="Arial"/>
          <w:sz w:val="17"/>
          <w:szCs w:val="17"/>
        </w:rPr>
        <w:t>Vol. 11 No. 2</w:t>
      </w:r>
    </w:p>
    <w:p w:rsidR="00E2400B" w:rsidRDefault="00E2400B" w:rsidP="00E2400B">
      <w:pPr>
        <w:pStyle w:val="NormalWeb"/>
      </w:pPr>
      <w:r>
        <w:rPr>
          <w:rFonts w:ascii="Arial" w:hAnsi="Arial" w:cs="Arial"/>
          <w:sz w:val="17"/>
          <w:szCs w:val="17"/>
        </w:rPr>
        <w:t>January 30, 2013</w:t>
      </w:r>
      <w:r>
        <w:rPr>
          <w:rStyle w:val="Emphasis"/>
          <w:rFonts w:ascii="Arial" w:hAnsi="Arial" w:cs="Arial"/>
          <w:sz w:val="17"/>
          <w:szCs w:val="17"/>
        </w:rPr>
        <w:t xml:space="preserve"> </w:t>
      </w:r>
    </w:p>
    <w:p w:rsidR="00E2400B" w:rsidRDefault="00E2400B" w:rsidP="00E2400B">
      <w:pPr>
        <w:pStyle w:val="NormalWeb"/>
      </w:pPr>
      <w:r>
        <w:rPr>
          <w:rStyle w:val="Emphasis"/>
          <w:rFonts w:ascii="Arial" w:hAnsi="Arial" w:cs="Arial"/>
          <w:sz w:val="17"/>
          <w:szCs w:val="17"/>
        </w:rPr>
        <w:t>Report funded by the Department of Canadian Heritage, the Canada Council for the Arts and the Ontario Arts Council </w:t>
      </w:r>
    </w:p>
    <w:p w:rsidR="00E2400B" w:rsidRDefault="00E2400B" w:rsidP="00E2400B">
      <w:pPr>
        <w:pStyle w:val="NormalWeb"/>
      </w:pPr>
      <w:r>
        <w:rPr>
          <w:rStyle w:val="Emphasis"/>
          <w:rFonts w:ascii="Verdana" w:hAnsi="Verdana"/>
          <w:sz w:val="21"/>
          <w:szCs w:val="21"/>
          <w:u w:val="single"/>
        </w:rPr>
        <w:lastRenderedPageBreak/>
        <w:t>The Arts and Individual Well-Being in Canada</w:t>
      </w:r>
      <w:r>
        <w:rPr>
          <w:rFonts w:ascii="Verdana" w:hAnsi="Verdana"/>
          <w:sz w:val="21"/>
          <w:szCs w:val="21"/>
        </w:rPr>
        <w:t>, the 39</w:t>
      </w:r>
      <w:r>
        <w:rPr>
          <w:rFonts w:ascii="Verdana" w:hAnsi="Verdana"/>
          <w:sz w:val="21"/>
          <w:szCs w:val="21"/>
          <w:vertAlign w:val="superscript"/>
        </w:rPr>
        <w:t>th</w:t>
      </w:r>
      <w:r>
        <w:rPr>
          <w:rFonts w:ascii="Verdana" w:hAnsi="Verdana"/>
          <w:sz w:val="21"/>
          <w:szCs w:val="21"/>
        </w:rPr>
        <w:t xml:space="preserve"> report in the </w:t>
      </w:r>
      <w:r>
        <w:rPr>
          <w:rStyle w:val="Emphasis"/>
          <w:rFonts w:ascii="Verdana" w:hAnsi="Verdana"/>
          <w:sz w:val="21"/>
          <w:szCs w:val="21"/>
        </w:rPr>
        <w:t>Statistical Insights on the Arts</w:t>
      </w:r>
      <w:r>
        <w:rPr>
          <w:rFonts w:ascii="Verdana" w:hAnsi="Verdana"/>
          <w:sz w:val="21"/>
          <w:szCs w:val="21"/>
        </w:rPr>
        <w:t xml:space="preserve"> series, examines whether connections exist between Canadians' cultural activities and their personal well-being.</w:t>
      </w:r>
    </w:p>
    <w:p w:rsidR="00E2400B" w:rsidRDefault="00E2400B" w:rsidP="00E2400B">
      <w:pPr>
        <w:pStyle w:val="NormalWeb"/>
      </w:pPr>
      <w:r>
        <w:rPr>
          <w:rFonts w:ascii="Verdana" w:hAnsi="Verdana"/>
          <w:sz w:val="21"/>
          <w:szCs w:val="21"/>
        </w:rPr>
        <w:t>The data in the report show that there is a strong connection between 18 cultural activities and eight indicators of health and well-being (such as health, mental health, volunteering, feeling stressed, and overall satisfaction with life). Cultural participants have significantly better results than non-participants for 101 out of 144 cross-tabulations (or 70%). Cultural participants have significantly worse results for only 10 of the cross-tabulations (or 7%). (Further details about the eight social indicators and 18 cultural activities are provided at the end of this summary.)</w:t>
      </w:r>
    </w:p>
    <w:p w:rsidR="00E2400B" w:rsidRDefault="00E2400B" w:rsidP="00E2400B">
      <w:pPr>
        <w:pStyle w:val="NormalWeb"/>
      </w:pPr>
      <w:r>
        <w:rPr>
          <w:rFonts w:ascii="Verdana" w:hAnsi="Verdana"/>
          <w:sz w:val="21"/>
          <w:szCs w:val="21"/>
        </w:rPr>
        <w:t>Six cultural activities and three social indicators were selected for detailed statistical modeling. The key findings of the statistical models are that:</w:t>
      </w:r>
    </w:p>
    <w:p w:rsidR="00E2400B" w:rsidRDefault="00E2400B" w:rsidP="00E2400B">
      <w:pPr>
        <w:numPr>
          <w:ilvl w:val="0"/>
          <w:numId w:val="1"/>
        </w:numPr>
        <w:spacing w:before="100" w:beforeAutospacing="1" w:after="100" w:afterAutospacing="1"/>
        <w:rPr>
          <w:rFonts w:eastAsia="Times New Roman"/>
        </w:rPr>
      </w:pPr>
      <w:r>
        <w:rPr>
          <w:rFonts w:ascii="Verdana" w:eastAsia="Times New Roman" w:hAnsi="Verdana"/>
          <w:sz w:val="21"/>
          <w:szCs w:val="21"/>
        </w:rPr>
        <w:t>Art gallery visits are associated with better health and higher volunteer rates.</w:t>
      </w:r>
    </w:p>
    <w:p w:rsidR="00E2400B" w:rsidRDefault="00E2400B" w:rsidP="00E2400B">
      <w:pPr>
        <w:numPr>
          <w:ilvl w:val="0"/>
          <w:numId w:val="1"/>
        </w:numPr>
        <w:spacing w:before="100" w:beforeAutospacing="1" w:after="100" w:afterAutospacing="1"/>
        <w:rPr>
          <w:rFonts w:eastAsia="Times New Roman"/>
        </w:rPr>
      </w:pPr>
      <w:r>
        <w:rPr>
          <w:rFonts w:ascii="Verdana" w:eastAsia="Times New Roman" w:hAnsi="Verdana"/>
          <w:sz w:val="21"/>
          <w:szCs w:val="21"/>
        </w:rPr>
        <w:t>Theatre attendance is associated with better health, volunteering, and strong satisfaction with life.</w:t>
      </w:r>
    </w:p>
    <w:p w:rsidR="00E2400B" w:rsidRDefault="00E2400B" w:rsidP="00E2400B">
      <w:pPr>
        <w:numPr>
          <w:ilvl w:val="0"/>
          <w:numId w:val="1"/>
        </w:numPr>
        <w:spacing w:before="100" w:beforeAutospacing="1" w:after="100" w:afterAutospacing="1"/>
        <w:rPr>
          <w:rFonts w:eastAsia="Times New Roman"/>
        </w:rPr>
      </w:pPr>
      <w:r>
        <w:rPr>
          <w:rFonts w:ascii="Verdana" w:eastAsia="Times New Roman" w:hAnsi="Verdana"/>
          <w:sz w:val="21"/>
          <w:szCs w:val="21"/>
        </w:rPr>
        <w:t>Classical music attendance is associated with higher volunteer rates and strong satisfaction with life.</w:t>
      </w:r>
    </w:p>
    <w:p w:rsidR="00E2400B" w:rsidRDefault="00E2400B" w:rsidP="00E2400B">
      <w:pPr>
        <w:numPr>
          <w:ilvl w:val="0"/>
          <w:numId w:val="1"/>
        </w:numPr>
        <w:spacing w:before="100" w:beforeAutospacing="1" w:after="100" w:afterAutospacing="1"/>
        <w:rPr>
          <w:rFonts w:eastAsia="Times New Roman"/>
        </w:rPr>
      </w:pPr>
      <w:r>
        <w:rPr>
          <w:rFonts w:ascii="Verdana" w:eastAsia="Times New Roman" w:hAnsi="Verdana"/>
          <w:sz w:val="21"/>
          <w:szCs w:val="21"/>
        </w:rPr>
        <w:t>Pop music attendance is associated with better health, volunteering, and strong satisfaction with life.</w:t>
      </w:r>
    </w:p>
    <w:p w:rsidR="00E2400B" w:rsidRDefault="00E2400B" w:rsidP="00E2400B">
      <w:pPr>
        <w:numPr>
          <w:ilvl w:val="0"/>
          <w:numId w:val="1"/>
        </w:numPr>
        <w:spacing w:before="100" w:beforeAutospacing="1" w:after="100" w:afterAutospacing="1"/>
        <w:rPr>
          <w:rFonts w:eastAsia="Times New Roman"/>
        </w:rPr>
      </w:pPr>
      <w:r>
        <w:rPr>
          <w:rFonts w:ascii="Verdana" w:eastAsia="Times New Roman" w:hAnsi="Verdana"/>
          <w:sz w:val="21"/>
          <w:szCs w:val="21"/>
        </w:rPr>
        <w:t>Attendance at cultural festivals is associated with better health, volunteering, and strong satisfaction with life.</w:t>
      </w:r>
    </w:p>
    <w:p w:rsidR="00E2400B" w:rsidRDefault="00E2400B" w:rsidP="00E2400B">
      <w:pPr>
        <w:numPr>
          <w:ilvl w:val="0"/>
          <w:numId w:val="1"/>
        </w:numPr>
        <w:spacing w:before="100" w:beforeAutospacing="1" w:after="100" w:afterAutospacing="1"/>
        <w:rPr>
          <w:rFonts w:eastAsia="Times New Roman"/>
        </w:rPr>
      </w:pPr>
      <w:r>
        <w:rPr>
          <w:rFonts w:ascii="Verdana" w:eastAsia="Times New Roman" w:hAnsi="Verdana"/>
          <w:sz w:val="21"/>
          <w:szCs w:val="21"/>
        </w:rPr>
        <w:t>Reading books is associated with better health, volunteering, and strong satisfaction with life.</w:t>
      </w:r>
    </w:p>
    <w:p w:rsidR="00E2400B" w:rsidRDefault="00E2400B" w:rsidP="00E2400B">
      <w:pPr>
        <w:pStyle w:val="NormalWeb"/>
      </w:pPr>
      <w:r>
        <w:rPr>
          <w:rFonts w:ascii="Verdana" w:hAnsi="Verdana"/>
          <w:sz w:val="21"/>
          <w:szCs w:val="21"/>
        </w:rPr>
        <w:t>The statistical models explore whether participation in these arts and culture activities have an association with social indicators above and beyond demographic information. That is, they examine whether cultural participants simply fit the demographic profile of healthy, socially-active citizens, or whether cultural participation might help explain aspects of health and well-being that are beyond demographic analysis.</w:t>
      </w:r>
    </w:p>
    <w:p w:rsidR="00E2400B" w:rsidRDefault="00E2400B" w:rsidP="00E2400B">
      <w:pPr>
        <w:pStyle w:val="NormalWeb"/>
      </w:pPr>
      <w:r>
        <w:rPr>
          <w:rFonts w:ascii="Verdana" w:hAnsi="Verdana"/>
          <w:sz w:val="21"/>
          <w:szCs w:val="21"/>
        </w:rPr>
        <w:t>While the statistical models provide evidence of a connection between cultural activities and well-being, some questions about variables that might have an association with the three indicators of well-being (such as the influence of smoking or alcohol consumption on health) were not available in the General Social Survey. In addition, it is very difficult to provide evidence of a cause and effect relationship between the variables in a statistical model in the absence of an experiment to directly measure the impacts of culture on personal well-being.</w:t>
      </w:r>
    </w:p>
    <w:p w:rsidR="00E2400B" w:rsidRDefault="00E2400B" w:rsidP="00E2400B">
      <w:pPr>
        <w:pStyle w:val="Heading4"/>
        <w:rPr>
          <w:rFonts w:eastAsia="Times New Roman"/>
        </w:rPr>
      </w:pPr>
      <w:r>
        <w:rPr>
          <w:rFonts w:ascii="Verdana" w:eastAsia="Times New Roman" w:hAnsi="Verdana"/>
          <w:sz w:val="21"/>
          <w:szCs w:val="21"/>
        </w:rPr>
        <w:t>Specific findings for each of the six cultural activities</w:t>
      </w:r>
    </w:p>
    <w:p w:rsidR="00E2400B" w:rsidRDefault="00E2400B" w:rsidP="00E2400B">
      <w:pPr>
        <w:pStyle w:val="Heading5"/>
        <w:rPr>
          <w:rFonts w:eastAsia="Times New Roman"/>
        </w:rPr>
      </w:pPr>
      <w:r>
        <w:rPr>
          <w:rStyle w:val="Emphasis"/>
          <w:rFonts w:ascii="Verdana" w:eastAsia="Times New Roman" w:hAnsi="Verdana"/>
          <w:sz w:val="21"/>
          <w:szCs w:val="21"/>
        </w:rPr>
        <w:t>Art gallery attendance</w:t>
      </w:r>
    </w:p>
    <w:p w:rsidR="00E2400B" w:rsidRDefault="00E2400B" w:rsidP="00E2400B">
      <w:pPr>
        <w:pStyle w:val="NormalWeb"/>
      </w:pPr>
      <w:r>
        <w:rPr>
          <w:rFonts w:ascii="Verdana" w:hAnsi="Verdana"/>
          <w:sz w:val="21"/>
          <w:szCs w:val="21"/>
        </w:rPr>
        <w:t>The exploratory data analysis shows that art gallery attendance has a statistically significant connection with six of the eight social indicators. Compared with those who did not visit an art gallery in 2010, art gallery visitors:</w:t>
      </w:r>
    </w:p>
    <w:p w:rsidR="00E2400B" w:rsidRDefault="00E2400B" w:rsidP="00E2400B">
      <w:pPr>
        <w:numPr>
          <w:ilvl w:val="0"/>
          <w:numId w:val="2"/>
        </w:numPr>
        <w:spacing w:before="100" w:beforeAutospacing="1" w:after="100" w:afterAutospacing="1"/>
        <w:rPr>
          <w:rFonts w:eastAsia="Times New Roman"/>
        </w:rPr>
      </w:pPr>
      <w:r>
        <w:rPr>
          <w:rFonts w:ascii="Verdana" w:eastAsia="Times New Roman" w:hAnsi="Verdana"/>
          <w:sz w:val="21"/>
          <w:szCs w:val="21"/>
        </w:rPr>
        <w:lastRenderedPageBreak/>
        <w:t>Are much more likely to report that they have very good or excellent health (60% vs. 47%).</w:t>
      </w:r>
    </w:p>
    <w:p w:rsidR="00E2400B" w:rsidRDefault="00E2400B" w:rsidP="00E2400B">
      <w:pPr>
        <w:numPr>
          <w:ilvl w:val="0"/>
          <w:numId w:val="2"/>
        </w:numPr>
        <w:spacing w:before="100" w:beforeAutospacing="1" w:after="100" w:afterAutospacing="1"/>
        <w:rPr>
          <w:rFonts w:eastAsia="Times New Roman"/>
        </w:rPr>
      </w:pPr>
      <w:r>
        <w:rPr>
          <w:rFonts w:ascii="Verdana" w:eastAsia="Times New Roman" w:hAnsi="Verdana"/>
          <w:sz w:val="21"/>
          <w:szCs w:val="21"/>
        </w:rPr>
        <w:t>Are much more likely to report that they have very good or excellent mental health (67% vs. 58%).</w:t>
      </w:r>
    </w:p>
    <w:p w:rsidR="00E2400B" w:rsidRDefault="00E2400B" w:rsidP="00E2400B">
      <w:pPr>
        <w:numPr>
          <w:ilvl w:val="0"/>
          <w:numId w:val="2"/>
        </w:numPr>
        <w:spacing w:before="100" w:beforeAutospacing="1" w:after="100" w:afterAutospacing="1"/>
        <w:rPr>
          <w:rFonts w:eastAsia="Times New Roman"/>
        </w:rPr>
      </w:pPr>
      <w:r>
        <w:rPr>
          <w:rFonts w:ascii="Verdana" w:eastAsia="Times New Roman" w:hAnsi="Verdana"/>
          <w:sz w:val="21"/>
          <w:szCs w:val="21"/>
        </w:rPr>
        <w:t>Are much more likely to volunteer (50% vs. 31%).</w:t>
      </w:r>
    </w:p>
    <w:p w:rsidR="00E2400B" w:rsidRDefault="00E2400B" w:rsidP="00E2400B">
      <w:pPr>
        <w:numPr>
          <w:ilvl w:val="0"/>
          <w:numId w:val="2"/>
        </w:numPr>
        <w:spacing w:before="100" w:beforeAutospacing="1" w:after="100" w:afterAutospacing="1"/>
        <w:rPr>
          <w:rFonts w:eastAsia="Times New Roman"/>
        </w:rPr>
      </w:pPr>
      <w:r>
        <w:rPr>
          <w:rFonts w:ascii="Verdana" w:eastAsia="Times New Roman" w:hAnsi="Verdana"/>
          <w:sz w:val="21"/>
          <w:szCs w:val="21"/>
        </w:rPr>
        <w:t>Are less likely to feel trapped in a daily routine (30% vs. 37%).</w:t>
      </w:r>
    </w:p>
    <w:p w:rsidR="00E2400B" w:rsidRDefault="00E2400B" w:rsidP="00E2400B">
      <w:pPr>
        <w:numPr>
          <w:ilvl w:val="0"/>
          <w:numId w:val="2"/>
        </w:numPr>
        <w:spacing w:before="100" w:beforeAutospacing="1" w:after="100" w:afterAutospacing="1"/>
        <w:rPr>
          <w:rFonts w:eastAsia="Times New Roman"/>
        </w:rPr>
      </w:pPr>
      <w:r>
        <w:rPr>
          <w:rFonts w:ascii="Verdana" w:eastAsia="Times New Roman" w:hAnsi="Verdana"/>
          <w:sz w:val="21"/>
          <w:szCs w:val="21"/>
        </w:rPr>
        <w:t xml:space="preserve">Are more likely to have done a </w:t>
      </w:r>
      <w:proofErr w:type="spellStart"/>
      <w:r>
        <w:rPr>
          <w:rFonts w:ascii="Verdana" w:eastAsia="Times New Roman" w:hAnsi="Verdana"/>
          <w:sz w:val="21"/>
          <w:szCs w:val="21"/>
        </w:rPr>
        <w:t>favour</w:t>
      </w:r>
      <w:proofErr w:type="spellEnd"/>
      <w:r>
        <w:rPr>
          <w:rFonts w:ascii="Verdana" w:eastAsia="Times New Roman" w:hAnsi="Verdana"/>
          <w:sz w:val="21"/>
          <w:szCs w:val="21"/>
        </w:rPr>
        <w:t xml:space="preserve"> for a </w:t>
      </w:r>
      <w:proofErr w:type="spellStart"/>
      <w:r>
        <w:rPr>
          <w:rFonts w:ascii="Verdana" w:eastAsia="Times New Roman" w:hAnsi="Verdana"/>
          <w:sz w:val="21"/>
          <w:szCs w:val="21"/>
        </w:rPr>
        <w:t>neighbour</w:t>
      </w:r>
      <w:proofErr w:type="spellEnd"/>
      <w:r>
        <w:rPr>
          <w:rFonts w:ascii="Verdana" w:eastAsia="Times New Roman" w:hAnsi="Verdana"/>
          <w:sz w:val="21"/>
          <w:szCs w:val="21"/>
        </w:rPr>
        <w:t xml:space="preserve"> in the past month (69% vs. 63%).</w:t>
      </w:r>
    </w:p>
    <w:p w:rsidR="00E2400B" w:rsidRDefault="00E2400B" w:rsidP="00E2400B">
      <w:pPr>
        <w:numPr>
          <w:ilvl w:val="0"/>
          <w:numId w:val="2"/>
        </w:numPr>
        <w:spacing w:before="100" w:beforeAutospacing="1" w:after="100" w:afterAutospacing="1"/>
        <w:rPr>
          <w:rFonts w:eastAsia="Times New Roman"/>
        </w:rPr>
      </w:pPr>
      <w:r>
        <w:rPr>
          <w:rFonts w:ascii="Verdana" w:eastAsia="Times New Roman" w:hAnsi="Verdana"/>
          <w:sz w:val="21"/>
          <w:szCs w:val="21"/>
        </w:rPr>
        <w:t>Are slightly more likely to report very strong satisfaction with life (62% vs. 58%).</w:t>
      </w:r>
    </w:p>
    <w:p w:rsidR="00E2400B" w:rsidRDefault="00E2400B" w:rsidP="00E2400B">
      <w:pPr>
        <w:pStyle w:val="NormalWeb"/>
      </w:pPr>
      <w:r>
        <w:rPr>
          <w:rFonts w:ascii="Verdana" w:hAnsi="Verdana"/>
          <w:sz w:val="21"/>
          <w:szCs w:val="21"/>
        </w:rPr>
        <w:t>In a statistical model of health, art gallery visitors have a 35% greater likelihood of reporting very good or excellent health than non-visitors, even accounting for other factors. Art gallery visitors have an 89% greater likelihood of having volunteered in the past year than non-visitors, even after controlling for other factors. In a model of satisfaction with life, art gallery visitors were not shown to have a significantly greater likelihood of reporting very strong satisfaction with life than non-visitors, once other factors were accounted for in the model.</w:t>
      </w:r>
    </w:p>
    <w:p w:rsidR="00E2400B" w:rsidRDefault="00E2400B" w:rsidP="00E2400B">
      <w:pPr>
        <w:pStyle w:val="Heading5"/>
        <w:rPr>
          <w:rFonts w:eastAsia="Times New Roman"/>
        </w:rPr>
      </w:pPr>
      <w:r>
        <w:rPr>
          <w:rStyle w:val="Emphasis"/>
          <w:rFonts w:ascii="Verdana" w:eastAsia="Times New Roman" w:hAnsi="Verdana"/>
          <w:sz w:val="21"/>
          <w:szCs w:val="21"/>
        </w:rPr>
        <w:t>Theatre attendance</w:t>
      </w:r>
    </w:p>
    <w:p w:rsidR="00E2400B" w:rsidRDefault="00E2400B" w:rsidP="00E2400B">
      <w:pPr>
        <w:pStyle w:val="NormalWeb"/>
      </w:pPr>
      <w:r>
        <w:rPr>
          <w:rFonts w:ascii="Verdana" w:hAnsi="Verdana"/>
          <w:sz w:val="21"/>
          <w:szCs w:val="21"/>
        </w:rPr>
        <w:t>Theatre attendance has a statistically significant connection with seven of the eight social indicators. Compared with those who did not attend a play in 2010, theatre attendees:</w:t>
      </w:r>
    </w:p>
    <w:p w:rsidR="00E2400B" w:rsidRDefault="00E2400B" w:rsidP="00E2400B">
      <w:pPr>
        <w:numPr>
          <w:ilvl w:val="0"/>
          <w:numId w:val="3"/>
        </w:numPr>
        <w:spacing w:before="100" w:beforeAutospacing="1" w:after="100" w:afterAutospacing="1"/>
        <w:rPr>
          <w:rFonts w:eastAsia="Times New Roman"/>
        </w:rPr>
      </w:pPr>
      <w:r>
        <w:rPr>
          <w:rFonts w:ascii="Verdana" w:eastAsia="Times New Roman" w:hAnsi="Verdana"/>
          <w:sz w:val="21"/>
          <w:szCs w:val="21"/>
        </w:rPr>
        <w:t>Are much more likely to report that they have very good or excellent health (58% vs. 46%).</w:t>
      </w:r>
    </w:p>
    <w:p w:rsidR="00E2400B" w:rsidRDefault="00E2400B" w:rsidP="00E2400B">
      <w:pPr>
        <w:numPr>
          <w:ilvl w:val="0"/>
          <w:numId w:val="3"/>
        </w:numPr>
        <w:spacing w:before="100" w:beforeAutospacing="1" w:after="100" w:afterAutospacing="1"/>
        <w:rPr>
          <w:rFonts w:eastAsia="Times New Roman"/>
        </w:rPr>
      </w:pPr>
      <w:r>
        <w:rPr>
          <w:rFonts w:ascii="Verdana" w:eastAsia="Times New Roman" w:hAnsi="Verdana"/>
          <w:sz w:val="21"/>
          <w:szCs w:val="21"/>
        </w:rPr>
        <w:t>Are much more likely to report that they have very good or excellent mental health (67% vs. 57%).</w:t>
      </w:r>
    </w:p>
    <w:p w:rsidR="00E2400B" w:rsidRDefault="00E2400B" w:rsidP="00E2400B">
      <w:pPr>
        <w:numPr>
          <w:ilvl w:val="0"/>
          <w:numId w:val="3"/>
        </w:numPr>
        <w:spacing w:before="100" w:beforeAutospacing="1" w:after="100" w:afterAutospacing="1"/>
        <w:rPr>
          <w:rFonts w:eastAsia="Times New Roman"/>
        </w:rPr>
      </w:pPr>
      <w:r>
        <w:rPr>
          <w:rFonts w:ascii="Verdana" w:eastAsia="Times New Roman" w:hAnsi="Verdana"/>
          <w:sz w:val="21"/>
          <w:szCs w:val="21"/>
        </w:rPr>
        <w:t>Are much more likely to volunteer (50% vs. 28%).</w:t>
      </w:r>
    </w:p>
    <w:p w:rsidR="00E2400B" w:rsidRDefault="00E2400B" w:rsidP="00E2400B">
      <w:pPr>
        <w:numPr>
          <w:ilvl w:val="0"/>
          <w:numId w:val="3"/>
        </w:numPr>
        <w:spacing w:before="100" w:beforeAutospacing="1" w:after="100" w:afterAutospacing="1"/>
        <w:rPr>
          <w:rFonts w:eastAsia="Times New Roman"/>
        </w:rPr>
      </w:pPr>
      <w:r>
        <w:rPr>
          <w:rFonts w:ascii="Verdana" w:eastAsia="Times New Roman" w:hAnsi="Verdana"/>
          <w:sz w:val="21"/>
          <w:szCs w:val="21"/>
        </w:rPr>
        <w:t>Are less likely to feel trapped in a daily routine (30% vs. 38%).</w:t>
      </w:r>
    </w:p>
    <w:p w:rsidR="00E2400B" w:rsidRDefault="00E2400B" w:rsidP="00E2400B">
      <w:pPr>
        <w:numPr>
          <w:ilvl w:val="0"/>
          <w:numId w:val="3"/>
        </w:numPr>
        <w:spacing w:before="100" w:beforeAutospacing="1" w:after="100" w:afterAutospacing="1"/>
        <w:rPr>
          <w:rFonts w:eastAsia="Times New Roman"/>
        </w:rPr>
      </w:pPr>
      <w:r>
        <w:rPr>
          <w:rFonts w:ascii="Verdana" w:eastAsia="Times New Roman" w:hAnsi="Verdana"/>
          <w:sz w:val="21"/>
          <w:szCs w:val="21"/>
        </w:rPr>
        <w:t xml:space="preserve">Are more likely to know many or most of their </w:t>
      </w:r>
      <w:proofErr w:type="spellStart"/>
      <w:r>
        <w:rPr>
          <w:rFonts w:ascii="Verdana" w:eastAsia="Times New Roman" w:hAnsi="Verdana"/>
          <w:sz w:val="21"/>
          <w:szCs w:val="21"/>
        </w:rPr>
        <w:t>neighbours</w:t>
      </w:r>
      <w:proofErr w:type="spellEnd"/>
      <w:r>
        <w:rPr>
          <w:rFonts w:ascii="Verdana" w:eastAsia="Times New Roman" w:hAnsi="Verdana"/>
          <w:sz w:val="21"/>
          <w:szCs w:val="21"/>
        </w:rPr>
        <w:t xml:space="preserve"> (46% vs. 41%).</w:t>
      </w:r>
    </w:p>
    <w:p w:rsidR="00E2400B" w:rsidRDefault="00E2400B" w:rsidP="00E2400B">
      <w:pPr>
        <w:numPr>
          <w:ilvl w:val="0"/>
          <w:numId w:val="3"/>
        </w:numPr>
        <w:spacing w:before="100" w:beforeAutospacing="1" w:after="100" w:afterAutospacing="1"/>
        <w:rPr>
          <w:rFonts w:eastAsia="Times New Roman"/>
        </w:rPr>
      </w:pPr>
      <w:r>
        <w:rPr>
          <w:rFonts w:ascii="Verdana" w:eastAsia="Times New Roman" w:hAnsi="Verdana"/>
          <w:sz w:val="21"/>
          <w:szCs w:val="21"/>
        </w:rPr>
        <w:t xml:space="preserve">Are more likely to have done a </w:t>
      </w:r>
      <w:proofErr w:type="spellStart"/>
      <w:r>
        <w:rPr>
          <w:rFonts w:ascii="Verdana" w:eastAsia="Times New Roman" w:hAnsi="Verdana"/>
          <w:sz w:val="21"/>
          <w:szCs w:val="21"/>
        </w:rPr>
        <w:t>favour</w:t>
      </w:r>
      <w:proofErr w:type="spellEnd"/>
      <w:r>
        <w:rPr>
          <w:rFonts w:ascii="Verdana" w:eastAsia="Times New Roman" w:hAnsi="Verdana"/>
          <w:sz w:val="21"/>
          <w:szCs w:val="21"/>
        </w:rPr>
        <w:t xml:space="preserve"> for a </w:t>
      </w:r>
      <w:proofErr w:type="spellStart"/>
      <w:r>
        <w:rPr>
          <w:rFonts w:ascii="Verdana" w:eastAsia="Times New Roman" w:hAnsi="Verdana"/>
          <w:sz w:val="21"/>
          <w:szCs w:val="21"/>
        </w:rPr>
        <w:t>neighbour</w:t>
      </w:r>
      <w:proofErr w:type="spellEnd"/>
      <w:r>
        <w:rPr>
          <w:rFonts w:ascii="Verdana" w:eastAsia="Times New Roman" w:hAnsi="Verdana"/>
          <w:sz w:val="21"/>
          <w:szCs w:val="21"/>
        </w:rPr>
        <w:t xml:space="preserve"> in the past month (70% vs. 61%).</w:t>
      </w:r>
    </w:p>
    <w:p w:rsidR="00E2400B" w:rsidRDefault="00E2400B" w:rsidP="00E2400B">
      <w:pPr>
        <w:numPr>
          <w:ilvl w:val="0"/>
          <w:numId w:val="3"/>
        </w:numPr>
        <w:spacing w:before="100" w:beforeAutospacing="1" w:after="100" w:afterAutospacing="1"/>
        <w:rPr>
          <w:rFonts w:eastAsia="Times New Roman"/>
        </w:rPr>
      </w:pPr>
      <w:r>
        <w:rPr>
          <w:rFonts w:ascii="Verdana" w:eastAsia="Times New Roman" w:hAnsi="Verdana"/>
          <w:sz w:val="21"/>
          <w:szCs w:val="21"/>
        </w:rPr>
        <w:t>Are more likely to report very strong satisfaction with life (64% vs. 56%).</w:t>
      </w:r>
    </w:p>
    <w:p w:rsidR="00E2400B" w:rsidRDefault="00E2400B" w:rsidP="00E2400B">
      <w:pPr>
        <w:pStyle w:val="NormalWeb"/>
      </w:pPr>
      <w:r>
        <w:rPr>
          <w:rFonts w:ascii="Verdana" w:hAnsi="Verdana"/>
          <w:sz w:val="21"/>
          <w:szCs w:val="21"/>
        </w:rPr>
        <w:t>In a statistical model of health, theatre goers have a 32% greater likelihood of reporting very good or excellent health than non-attendees, even after controlling for other factors. Theatre attendees are 2.29 times more likely than non-attendees to have volunteered in the past year, even accounting for other factors. In a model of satisfaction with life, theatre attendees have a 30% greater likelihood of reporting very strong satisfaction with life than non-attendees, once other factors were accounted for in the model.</w:t>
      </w:r>
    </w:p>
    <w:p w:rsidR="00E2400B" w:rsidRDefault="00E2400B" w:rsidP="00E2400B">
      <w:pPr>
        <w:pStyle w:val="Heading5"/>
        <w:rPr>
          <w:rFonts w:eastAsia="Times New Roman"/>
        </w:rPr>
      </w:pPr>
      <w:r>
        <w:rPr>
          <w:rStyle w:val="Emphasis"/>
          <w:rFonts w:ascii="Verdana" w:eastAsia="Times New Roman" w:hAnsi="Verdana"/>
          <w:sz w:val="21"/>
          <w:szCs w:val="21"/>
        </w:rPr>
        <w:t>Classical music attendance</w:t>
      </w:r>
    </w:p>
    <w:p w:rsidR="00E2400B" w:rsidRDefault="00E2400B" w:rsidP="00E2400B">
      <w:pPr>
        <w:pStyle w:val="NormalWeb"/>
      </w:pPr>
      <w:r>
        <w:rPr>
          <w:rFonts w:ascii="Verdana" w:hAnsi="Verdana"/>
          <w:sz w:val="21"/>
          <w:szCs w:val="21"/>
        </w:rPr>
        <w:t>Classical music attendance has a statistically significant connection with six of the eight social indicators. Compared with those who did not attend a classical concert in 2010, those who did attend:</w:t>
      </w:r>
    </w:p>
    <w:p w:rsidR="00E2400B" w:rsidRDefault="00E2400B" w:rsidP="00E2400B">
      <w:pPr>
        <w:numPr>
          <w:ilvl w:val="0"/>
          <w:numId w:val="4"/>
        </w:numPr>
        <w:spacing w:before="100" w:beforeAutospacing="1" w:after="100" w:afterAutospacing="1"/>
        <w:rPr>
          <w:rFonts w:eastAsia="Times New Roman"/>
        </w:rPr>
      </w:pPr>
      <w:r>
        <w:rPr>
          <w:rFonts w:ascii="Verdana" w:eastAsia="Times New Roman" w:hAnsi="Verdana"/>
          <w:sz w:val="21"/>
          <w:szCs w:val="21"/>
        </w:rPr>
        <w:lastRenderedPageBreak/>
        <w:t>Are more likely to report that they have very good or excellent health (58% vs. 51%).</w:t>
      </w:r>
    </w:p>
    <w:p w:rsidR="00E2400B" w:rsidRDefault="00E2400B" w:rsidP="00E2400B">
      <w:pPr>
        <w:numPr>
          <w:ilvl w:val="0"/>
          <w:numId w:val="4"/>
        </w:numPr>
        <w:spacing w:before="100" w:beforeAutospacing="1" w:after="100" w:afterAutospacing="1"/>
        <w:rPr>
          <w:rFonts w:eastAsia="Times New Roman"/>
        </w:rPr>
      </w:pPr>
      <w:r>
        <w:rPr>
          <w:rFonts w:ascii="Verdana" w:eastAsia="Times New Roman" w:hAnsi="Verdana"/>
          <w:sz w:val="21"/>
          <w:szCs w:val="21"/>
        </w:rPr>
        <w:t>Are more likely to report that they have very good or excellent mental health (67% vs. 61%).</w:t>
      </w:r>
    </w:p>
    <w:p w:rsidR="00E2400B" w:rsidRDefault="00E2400B" w:rsidP="00E2400B">
      <w:pPr>
        <w:numPr>
          <w:ilvl w:val="0"/>
          <w:numId w:val="4"/>
        </w:numPr>
        <w:spacing w:before="100" w:beforeAutospacing="1" w:after="100" w:afterAutospacing="1"/>
        <w:rPr>
          <w:rFonts w:eastAsia="Times New Roman"/>
        </w:rPr>
      </w:pPr>
      <w:r>
        <w:rPr>
          <w:rFonts w:ascii="Verdana" w:eastAsia="Times New Roman" w:hAnsi="Verdana"/>
          <w:sz w:val="21"/>
          <w:szCs w:val="21"/>
        </w:rPr>
        <w:t>Are much more likely to volunteer (55% vs. 35%).</w:t>
      </w:r>
    </w:p>
    <w:p w:rsidR="00E2400B" w:rsidRDefault="00E2400B" w:rsidP="00E2400B">
      <w:pPr>
        <w:numPr>
          <w:ilvl w:val="0"/>
          <w:numId w:val="4"/>
        </w:numPr>
        <w:spacing w:before="100" w:beforeAutospacing="1" w:after="100" w:afterAutospacing="1"/>
        <w:rPr>
          <w:rFonts w:eastAsia="Times New Roman"/>
        </w:rPr>
      </w:pPr>
      <w:r>
        <w:rPr>
          <w:rFonts w:ascii="Verdana" w:eastAsia="Times New Roman" w:hAnsi="Verdana"/>
          <w:sz w:val="21"/>
          <w:szCs w:val="21"/>
        </w:rPr>
        <w:t>Are much less likely to feel trapped in a daily routine (26% vs. 36%).</w:t>
      </w:r>
    </w:p>
    <w:p w:rsidR="00E2400B" w:rsidRDefault="00E2400B" w:rsidP="00E2400B">
      <w:pPr>
        <w:numPr>
          <w:ilvl w:val="0"/>
          <w:numId w:val="4"/>
        </w:numPr>
        <w:spacing w:before="100" w:beforeAutospacing="1" w:after="100" w:afterAutospacing="1"/>
        <w:rPr>
          <w:rFonts w:eastAsia="Times New Roman"/>
        </w:rPr>
      </w:pPr>
      <w:r>
        <w:rPr>
          <w:rFonts w:ascii="Verdana" w:eastAsia="Times New Roman" w:hAnsi="Verdana"/>
          <w:sz w:val="21"/>
          <w:szCs w:val="21"/>
        </w:rPr>
        <w:t xml:space="preserve">Are more likely to have done a </w:t>
      </w:r>
      <w:proofErr w:type="spellStart"/>
      <w:r>
        <w:rPr>
          <w:rFonts w:ascii="Verdana" w:eastAsia="Times New Roman" w:hAnsi="Verdana"/>
          <w:sz w:val="21"/>
          <w:szCs w:val="21"/>
        </w:rPr>
        <w:t>favour</w:t>
      </w:r>
      <w:proofErr w:type="spellEnd"/>
      <w:r>
        <w:rPr>
          <w:rFonts w:ascii="Verdana" w:eastAsia="Times New Roman" w:hAnsi="Verdana"/>
          <w:sz w:val="21"/>
          <w:szCs w:val="21"/>
        </w:rPr>
        <w:t xml:space="preserve"> for a </w:t>
      </w:r>
      <w:proofErr w:type="spellStart"/>
      <w:r>
        <w:rPr>
          <w:rFonts w:ascii="Verdana" w:eastAsia="Times New Roman" w:hAnsi="Verdana"/>
          <w:sz w:val="21"/>
          <w:szCs w:val="21"/>
        </w:rPr>
        <w:t>neighbour</w:t>
      </w:r>
      <w:proofErr w:type="spellEnd"/>
      <w:r>
        <w:rPr>
          <w:rFonts w:ascii="Verdana" w:eastAsia="Times New Roman" w:hAnsi="Verdana"/>
          <w:sz w:val="21"/>
          <w:szCs w:val="21"/>
        </w:rPr>
        <w:t xml:space="preserve"> in the past month (71% vs. 64%).</w:t>
      </w:r>
    </w:p>
    <w:p w:rsidR="00E2400B" w:rsidRDefault="00E2400B" w:rsidP="00E2400B">
      <w:pPr>
        <w:numPr>
          <w:ilvl w:val="0"/>
          <w:numId w:val="4"/>
        </w:numPr>
        <w:spacing w:before="100" w:beforeAutospacing="1" w:after="100" w:afterAutospacing="1"/>
        <w:rPr>
          <w:rFonts w:eastAsia="Times New Roman"/>
        </w:rPr>
      </w:pPr>
      <w:r>
        <w:rPr>
          <w:rFonts w:ascii="Verdana" w:eastAsia="Times New Roman" w:hAnsi="Verdana"/>
          <w:sz w:val="21"/>
          <w:szCs w:val="21"/>
        </w:rPr>
        <w:t>Are more likely to report very strong satisfaction with life (68% vs. 59%).</w:t>
      </w:r>
    </w:p>
    <w:p w:rsidR="00E2400B" w:rsidRDefault="00E2400B" w:rsidP="00E2400B">
      <w:pPr>
        <w:pStyle w:val="NormalWeb"/>
      </w:pPr>
      <w:r>
        <w:rPr>
          <w:rFonts w:ascii="Verdana" w:hAnsi="Verdana"/>
          <w:sz w:val="21"/>
          <w:szCs w:val="21"/>
        </w:rPr>
        <w:t>In a statistical model of volunteering, classical music attendees have an 86% greater likelihood of having volunteered in the past year than non-attendees, even after controlling for other factors. Classical music attendees are 29% more likely to report very strong satisfaction with life than non-attendees, even accounting for other factors. In the health model, classical music attendees were not shown to have a significantly greater likelihood of reporting very good or excellent health than non-attendees, once demographic factors were accounted for in the model.</w:t>
      </w:r>
    </w:p>
    <w:p w:rsidR="00E2400B" w:rsidRDefault="00E2400B" w:rsidP="00E2400B">
      <w:pPr>
        <w:pStyle w:val="Heading5"/>
        <w:rPr>
          <w:rFonts w:eastAsia="Times New Roman"/>
        </w:rPr>
      </w:pPr>
      <w:r>
        <w:rPr>
          <w:rStyle w:val="Emphasis"/>
          <w:rFonts w:ascii="Verdana" w:eastAsia="Times New Roman" w:hAnsi="Verdana"/>
          <w:sz w:val="21"/>
          <w:szCs w:val="21"/>
        </w:rPr>
        <w:t>Popular music attendance</w:t>
      </w:r>
    </w:p>
    <w:p w:rsidR="00E2400B" w:rsidRDefault="00E2400B" w:rsidP="00E2400B">
      <w:pPr>
        <w:pStyle w:val="NormalWeb"/>
      </w:pPr>
      <w:r>
        <w:rPr>
          <w:rFonts w:ascii="Verdana" w:hAnsi="Verdana"/>
          <w:sz w:val="21"/>
          <w:szCs w:val="21"/>
        </w:rPr>
        <w:t>Pop music attendance has a statistically significant connection with seven of the eight social indicators. Compared with those who did not attend a pop concert in 2010, those who did attend:</w:t>
      </w:r>
    </w:p>
    <w:p w:rsidR="00E2400B" w:rsidRDefault="00E2400B" w:rsidP="00E2400B">
      <w:pPr>
        <w:numPr>
          <w:ilvl w:val="0"/>
          <w:numId w:val="5"/>
        </w:numPr>
        <w:spacing w:before="100" w:beforeAutospacing="1" w:after="100" w:afterAutospacing="1"/>
        <w:rPr>
          <w:rFonts w:eastAsia="Times New Roman"/>
        </w:rPr>
      </w:pPr>
      <w:r>
        <w:rPr>
          <w:rFonts w:ascii="Verdana" w:eastAsia="Times New Roman" w:hAnsi="Verdana"/>
          <w:sz w:val="21"/>
          <w:szCs w:val="21"/>
        </w:rPr>
        <w:t>Are much more likely to report that they have very good or excellent health (58% vs. 48%).</w:t>
      </w:r>
    </w:p>
    <w:p w:rsidR="00E2400B" w:rsidRDefault="00E2400B" w:rsidP="00E2400B">
      <w:pPr>
        <w:numPr>
          <w:ilvl w:val="0"/>
          <w:numId w:val="5"/>
        </w:numPr>
        <w:spacing w:before="100" w:beforeAutospacing="1" w:after="100" w:afterAutospacing="1"/>
        <w:rPr>
          <w:rFonts w:eastAsia="Times New Roman"/>
        </w:rPr>
      </w:pPr>
      <w:r>
        <w:rPr>
          <w:rFonts w:ascii="Verdana" w:eastAsia="Times New Roman" w:hAnsi="Verdana"/>
          <w:sz w:val="21"/>
          <w:szCs w:val="21"/>
        </w:rPr>
        <w:t>Are more likely to report that they have very good or excellent mental health (66% vs. 59%).</w:t>
      </w:r>
    </w:p>
    <w:p w:rsidR="00E2400B" w:rsidRDefault="00E2400B" w:rsidP="00E2400B">
      <w:pPr>
        <w:numPr>
          <w:ilvl w:val="0"/>
          <w:numId w:val="5"/>
        </w:numPr>
        <w:spacing w:before="100" w:beforeAutospacing="1" w:after="100" w:afterAutospacing="1"/>
        <w:rPr>
          <w:rFonts w:eastAsia="Times New Roman"/>
        </w:rPr>
      </w:pPr>
      <w:r>
        <w:rPr>
          <w:rFonts w:ascii="Verdana" w:eastAsia="Times New Roman" w:hAnsi="Verdana"/>
          <w:sz w:val="21"/>
          <w:szCs w:val="21"/>
        </w:rPr>
        <w:t>Are much more likely to volunteer (47% vs. 32%).</w:t>
      </w:r>
    </w:p>
    <w:p w:rsidR="00E2400B" w:rsidRDefault="00E2400B" w:rsidP="00E2400B">
      <w:pPr>
        <w:numPr>
          <w:ilvl w:val="0"/>
          <w:numId w:val="5"/>
        </w:numPr>
        <w:spacing w:before="100" w:beforeAutospacing="1" w:after="100" w:afterAutospacing="1"/>
        <w:rPr>
          <w:rFonts w:eastAsia="Times New Roman"/>
        </w:rPr>
      </w:pPr>
      <w:r>
        <w:rPr>
          <w:rFonts w:ascii="Verdana" w:eastAsia="Times New Roman" w:hAnsi="Verdana"/>
          <w:sz w:val="21"/>
          <w:szCs w:val="21"/>
        </w:rPr>
        <w:t>Are less likely to feel trapped in a daily routine (31% vs. 36%).</w:t>
      </w:r>
    </w:p>
    <w:p w:rsidR="00E2400B" w:rsidRDefault="00E2400B" w:rsidP="00E2400B">
      <w:pPr>
        <w:numPr>
          <w:ilvl w:val="0"/>
          <w:numId w:val="5"/>
        </w:numPr>
        <w:spacing w:before="100" w:beforeAutospacing="1" w:after="100" w:afterAutospacing="1"/>
        <w:rPr>
          <w:rFonts w:eastAsia="Times New Roman"/>
        </w:rPr>
      </w:pPr>
      <w:r>
        <w:rPr>
          <w:rFonts w:ascii="Verdana" w:eastAsia="Times New Roman" w:hAnsi="Verdana"/>
          <w:sz w:val="21"/>
          <w:szCs w:val="21"/>
        </w:rPr>
        <w:t xml:space="preserve">Are somewhat more likely to have done a </w:t>
      </w:r>
      <w:proofErr w:type="spellStart"/>
      <w:r>
        <w:rPr>
          <w:rFonts w:ascii="Verdana" w:eastAsia="Times New Roman" w:hAnsi="Verdana"/>
          <w:sz w:val="21"/>
          <w:szCs w:val="21"/>
        </w:rPr>
        <w:t>favour</w:t>
      </w:r>
      <w:proofErr w:type="spellEnd"/>
      <w:r>
        <w:rPr>
          <w:rFonts w:ascii="Verdana" w:eastAsia="Times New Roman" w:hAnsi="Verdana"/>
          <w:sz w:val="21"/>
          <w:szCs w:val="21"/>
        </w:rPr>
        <w:t xml:space="preserve"> for a </w:t>
      </w:r>
      <w:proofErr w:type="spellStart"/>
      <w:r>
        <w:rPr>
          <w:rFonts w:ascii="Verdana" w:eastAsia="Times New Roman" w:hAnsi="Verdana"/>
          <w:sz w:val="21"/>
          <w:szCs w:val="21"/>
        </w:rPr>
        <w:t>neighbour</w:t>
      </w:r>
      <w:proofErr w:type="spellEnd"/>
      <w:r>
        <w:rPr>
          <w:rFonts w:ascii="Verdana" w:eastAsia="Times New Roman" w:hAnsi="Verdana"/>
          <w:sz w:val="21"/>
          <w:szCs w:val="21"/>
        </w:rPr>
        <w:t xml:space="preserve"> in the past month (69% vs. 63%).</w:t>
      </w:r>
    </w:p>
    <w:p w:rsidR="00E2400B" w:rsidRDefault="00E2400B" w:rsidP="00E2400B">
      <w:pPr>
        <w:numPr>
          <w:ilvl w:val="0"/>
          <w:numId w:val="5"/>
        </w:numPr>
        <w:spacing w:before="100" w:beforeAutospacing="1" w:after="100" w:afterAutospacing="1"/>
        <w:rPr>
          <w:rFonts w:eastAsia="Times New Roman"/>
        </w:rPr>
      </w:pPr>
      <w:r>
        <w:rPr>
          <w:rFonts w:ascii="Verdana" w:eastAsia="Times New Roman" w:hAnsi="Verdana"/>
          <w:sz w:val="21"/>
          <w:szCs w:val="21"/>
        </w:rPr>
        <w:t>Are slightly more likely to report very strong satisfaction with life (62% vs. 58%).</w:t>
      </w:r>
    </w:p>
    <w:p w:rsidR="00E2400B" w:rsidRDefault="00E2400B" w:rsidP="00E2400B">
      <w:pPr>
        <w:pStyle w:val="NormalWeb"/>
      </w:pPr>
      <w:r>
        <w:rPr>
          <w:rFonts w:ascii="Verdana" w:hAnsi="Verdana"/>
          <w:sz w:val="21"/>
          <w:szCs w:val="21"/>
        </w:rPr>
        <w:t>On the other hand, pop concert attendees are less likely than non-attendees to feel low levels of stress in their daily lives (35% vs. 40% feel not at all or not very stressed).</w:t>
      </w:r>
    </w:p>
    <w:p w:rsidR="00E2400B" w:rsidRDefault="00E2400B" w:rsidP="00E2400B">
      <w:pPr>
        <w:pStyle w:val="NormalWeb"/>
      </w:pPr>
      <w:r>
        <w:rPr>
          <w:rFonts w:ascii="Verdana" w:hAnsi="Verdana"/>
          <w:sz w:val="21"/>
          <w:szCs w:val="21"/>
        </w:rPr>
        <w:t>In a statistical model of health, pop concert attendees have a 23% greater likelihood of reporting very good or excellent health than non-attendees, even after controlling for other factors. Pop music attendees are 64% more likely than non-attendees to have volunteered in the past year, even accounting for other factors. In a model of satisfaction with life, popular music attendees have an 18% greater likelihood of reporting very strong satisfaction with life than non-attendees, once other factors were accounted for in the model.</w:t>
      </w:r>
    </w:p>
    <w:p w:rsidR="00E2400B" w:rsidRDefault="00E2400B" w:rsidP="00E2400B">
      <w:pPr>
        <w:pStyle w:val="Heading5"/>
        <w:rPr>
          <w:rFonts w:eastAsia="Times New Roman"/>
        </w:rPr>
      </w:pPr>
      <w:r>
        <w:rPr>
          <w:rStyle w:val="Emphasis"/>
          <w:rFonts w:ascii="Verdana" w:eastAsia="Times New Roman" w:hAnsi="Verdana"/>
          <w:sz w:val="21"/>
          <w:szCs w:val="21"/>
        </w:rPr>
        <w:t>Attendance at cultural festivals</w:t>
      </w:r>
    </w:p>
    <w:p w:rsidR="00E2400B" w:rsidRDefault="00E2400B" w:rsidP="00E2400B">
      <w:pPr>
        <w:pStyle w:val="NormalWeb"/>
      </w:pPr>
      <w:r>
        <w:rPr>
          <w:rFonts w:ascii="Verdana" w:hAnsi="Verdana"/>
          <w:sz w:val="21"/>
          <w:szCs w:val="21"/>
        </w:rPr>
        <w:lastRenderedPageBreak/>
        <w:t>Cultural festival attendance has a statistically significant connection with five of the eight social indicators. Compared with those who did not attend a cultural festival in 2010, those who did attend:</w:t>
      </w:r>
    </w:p>
    <w:p w:rsidR="00E2400B" w:rsidRDefault="00E2400B" w:rsidP="00E2400B">
      <w:pPr>
        <w:numPr>
          <w:ilvl w:val="0"/>
          <w:numId w:val="6"/>
        </w:numPr>
        <w:spacing w:before="100" w:beforeAutospacing="1" w:after="100" w:afterAutospacing="1"/>
        <w:rPr>
          <w:rFonts w:eastAsia="Times New Roman"/>
        </w:rPr>
      </w:pPr>
      <w:r>
        <w:rPr>
          <w:rFonts w:ascii="Verdana" w:eastAsia="Times New Roman" w:hAnsi="Verdana"/>
          <w:sz w:val="21"/>
          <w:szCs w:val="21"/>
        </w:rPr>
        <w:t>Are more likely to report that they have very good or excellent health (56% vs. 49%).</w:t>
      </w:r>
    </w:p>
    <w:p w:rsidR="00E2400B" w:rsidRDefault="00E2400B" w:rsidP="00E2400B">
      <w:pPr>
        <w:numPr>
          <w:ilvl w:val="0"/>
          <w:numId w:val="6"/>
        </w:numPr>
        <w:spacing w:before="100" w:beforeAutospacing="1" w:after="100" w:afterAutospacing="1"/>
        <w:rPr>
          <w:rFonts w:eastAsia="Times New Roman"/>
        </w:rPr>
      </w:pPr>
      <w:r>
        <w:rPr>
          <w:rFonts w:ascii="Verdana" w:eastAsia="Times New Roman" w:hAnsi="Verdana"/>
          <w:sz w:val="21"/>
          <w:szCs w:val="21"/>
        </w:rPr>
        <w:t>Are somewhat more likely to report that they have very good or excellent mental health (64% vs. 60%).</w:t>
      </w:r>
    </w:p>
    <w:p w:rsidR="00E2400B" w:rsidRDefault="00E2400B" w:rsidP="00E2400B">
      <w:pPr>
        <w:numPr>
          <w:ilvl w:val="0"/>
          <w:numId w:val="6"/>
        </w:numPr>
        <w:spacing w:before="100" w:beforeAutospacing="1" w:after="100" w:afterAutospacing="1"/>
        <w:rPr>
          <w:rFonts w:eastAsia="Times New Roman"/>
        </w:rPr>
      </w:pPr>
      <w:r>
        <w:rPr>
          <w:rFonts w:ascii="Verdana" w:eastAsia="Times New Roman" w:hAnsi="Verdana"/>
          <w:sz w:val="21"/>
          <w:szCs w:val="21"/>
        </w:rPr>
        <w:t>Are much more likely to volunteer (48% vs. 32%).</w:t>
      </w:r>
    </w:p>
    <w:p w:rsidR="00E2400B" w:rsidRDefault="00E2400B" w:rsidP="00E2400B">
      <w:pPr>
        <w:numPr>
          <w:ilvl w:val="0"/>
          <w:numId w:val="6"/>
        </w:numPr>
        <w:spacing w:before="100" w:beforeAutospacing="1" w:after="100" w:afterAutospacing="1"/>
        <w:rPr>
          <w:rFonts w:eastAsia="Times New Roman"/>
        </w:rPr>
      </w:pPr>
      <w:r>
        <w:rPr>
          <w:rFonts w:ascii="Verdana" w:eastAsia="Times New Roman" w:hAnsi="Verdana"/>
          <w:sz w:val="21"/>
          <w:szCs w:val="21"/>
        </w:rPr>
        <w:t xml:space="preserve">Are more likely to have done a </w:t>
      </w:r>
      <w:proofErr w:type="spellStart"/>
      <w:r>
        <w:rPr>
          <w:rFonts w:ascii="Verdana" w:eastAsia="Times New Roman" w:hAnsi="Verdana"/>
          <w:sz w:val="21"/>
          <w:szCs w:val="21"/>
        </w:rPr>
        <w:t>favour</w:t>
      </w:r>
      <w:proofErr w:type="spellEnd"/>
      <w:r>
        <w:rPr>
          <w:rFonts w:ascii="Verdana" w:eastAsia="Times New Roman" w:hAnsi="Verdana"/>
          <w:sz w:val="21"/>
          <w:szCs w:val="21"/>
        </w:rPr>
        <w:t xml:space="preserve"> for a </w:t>
      </w:r>
      <w:proofErr w:type="spellStart"/>
      <w:r>
        <w:rPr>
          <w:rFonts w:ascii="Verdana" w:eastAsia="Times New Roman" w:hAnsi="Verdana"/>
          <w:sz w:val="21"/>
          <w:szCs w:val="21"/>
        </w:rPr>
        <w:t>neighbour</w:t>
      </w:r>
      <w:proofErr w:type="spellEnd"/>
      <w:r>
        <w:rPr>
          <w:rFonts w:ascii="Verdana" w:eastAsia="Times New Roman" w:hAnsi="Verdana"/>
          <w:sz w:val="21"/>
          <w:szCs w:val="21"/>
        </w:rPr>
        <w:t xml:space="preserve"> in the past month (70% vs. 62%).</w:t>
      </w:r>
    </w:p>
    <w:p w:rsidR="00E2400B" w:rsidRDefault="00E2400B" w:rsidP="00E2400B">
      <w:pPr>
        <w:pStyle w:val="NormalWeb"/>
      </w:pPr>
      <w:r>
        <w:rPr>
          <w:rFonts w:ascii="Verdana" w:hAnsi="Verdana"/>
          <w:sz w:val="21"/>
          <w:szCs w:val="21"/>
        </w:rPr>
        <w:t>On the other hand, cultural festival attendees are slightly less likely than non-attendees to feel low levels of stress in their daily lives (35% vs. 40% feel not at all or not very stressed).</w:t>
      </w:r>
    </w:p>
    <w:p w:rsidR="00E2400B" w:rsidRDefault="00E2400B" w:rsidP="00E2400B">
      <w:pPr>
        <w:pStyle w:val="NormalWeb"/>
      </w:pPr>
      <w:r>
        <w:rPr>
          <w:rFonts w:ascii="Verdana" w:hAnsi="Verdana"/>
          <w:sz w:val="21"/>
          <w:szCs w:val="21"/>
        </w:rPr>
        <w:t>In a statistical model of health, cultural festival attendees have a 14% greater likelihood of reporting very good or excellent health than non-attendees, even after controlling for other factors. Festival attendees are twice as likely as non-attendees to have volunteered in the past year, even accounting for other factors. In a model of satisfaction with life, cultural festival attendees have a 25% greater likelihood of reporting very strong satisfaction with life than non-attendees, once other factors were accounted for in the model.</w:t>
      </w:r>
    </w:p>
    <w:p w:rsidR="00E2400B" w:rsidRDefault="00E2400B" w:rsidP="00E2400B">
      <w:pPr>
        <w:pStyle w:val="Heading5"/>
        <w:rPr>
          <w:rFonts w:eastAsia="Times New Roman"/>
        </w:rPr>
      </w:pPr>
      <w:r>
        <w:rPr>
          <w:rStyle w:val="Emphasis"/>
          <w:rFonts w:ascii="Verdana" w:eastAsia="Times New Roman" w:hAnsi="Verdana"/>
          <w:sz w:val="21"/>
          <w:szCs w:val="21"/>
        </w:rPr>
        <w:t>Book reading</w:t>
      </w:r>
    </w:p>
    <w:p w:rsidR="00E2400B" w:rsidRDefault="00E2400B" w:rsidP="00E2400B">
      <w:pPr>
        <w:pStyle w:val="NormalWeb"/>
      </w:pPr>
      <w:r>
        <w:rPr>
          <w:rFonts w:ascii="Verdana" w:hAnsi="Verdana"/>
          <w:sz w:val="21"/>
          <w:szCs w:val="21"/>
        </w:rPr>
        <w:t>Book reading has a statistically significant connection with five of the eight social indicators. Compared with those who did not read a book in 2010, book readers:</w:t>
      </w:r>
    </w:p>
    <w:p w:rsidR="00E2400B" w:rsidRDefault="00E2400B" w:rsidP="00E2400B">
      <w:pPr>
        <w:numPr>
          <w:ilvl w:val="0"/>
          <w:numId w:val="7"/>
        </w:numPr>
        <w:spacing w:before="100" w:beforeAutospacing="1" w:after="100" w:afterAutospacing="1"/>
        <w:rPr>
          <w:rFonts w:eastAsia="Times New Roman"/>
        </w:rPr>
      </w:pPr>
      <w:r>
        <w:rPr>
          <w:rFonts w:ascii="Verdana" w:eastAsia="Times New Roman" w:hAnsi="Verdana"/>
          <w:sz w:val="21"/>
          <w:szCs w:val="21"/>
        </w:rPr>
        <w:t>Are much more likely to report that they have very good or excellent health (54% vs. 44%).</w:t>
      </w:r>
    </w:p>
    <w:p w:rsidR="00E2400B" w:rsidRDefault="00E2400B" w:rsidP="00E2400B">
      <w:pPr>
        <w:numPr>
          <w:ilvl w:val="0"/>
          <w:numId w:val="7"/>
        </w:numPr>
        <w:spacing w:before="100" w:beforeAutospacing="1" w:after="100" w:afterAutospacing="1"/>
        <w:rPr>
          <w:rFonts w:eastAsia="Times New Roman"/>
        </w:rPr>
      </w:pPr>
      <w:r>
        <w:rPr>
          <w:rFonts w:ascii="Verdana" w:eastAsia="Times New Roman" w:hAnsi="Verdana"/>
          <w:sz w:val="21"/>
          <w:szCs w:val="21"/>
        </w:rPr>
        <w:t>Are more likely to report that they have very good or excellent mental health (63% vs. 56%).</w:t>
      </w:r>
    </w:p>
    <w:p w:rsidR="00E2400B" w:rsidRDefault="00E2400B" w:rsidP="00E2400B">
      <w:pPr>
        <w:numPr>
          <w:ilvl w:val="0"/>
          <w:numId w:val="7"/>
        </w:numPr>
        <w:spacing w:before="100" w:beforeAutospacing="1" w:after="100" w:afterAutospacing="1"/>
        <w:rPr>
          <w:rFonts w:eastAsia="Times New Roman"/>
        </w:rPr>
      </w:pPr>
      <w:r>
        <w:rPr>
          <w:rFonts w:ascii="Verdana" w:eastAsia="Times New Roman" w:hAnsi="Verdana"/>
          <w:sz w:val="21"/>
          <w:szCs w:val="21"/>
        </w:rPr>
        <w:t>Are much more likely to volunteer (42% vs. 26%).</w:t>
      </w:r>
    </w:p>
    <w:p w:rsidR="00E2400B" w:rsidRDefault="00E2400B" w:rsidP="00E2400B">
      <w:pPr>
        <w:numPr>
          <w:ilvl w:val="0"/>
          <w:numId w:val="7"/>
        </w:numPr>
        <w:spacing w:before="100" w:beforeAutospacing="1" w:after="100" w:afterAutospacing="1"/>
        <w:rPr>
          <w:rFonts w:eastAsia="Times New Roman"/>
        </w:rPr>
      </w:pPr>
      <w:r>
        <w:rPr>
          <w:rFonts w:ascii="Verdana" w:eastAsia="Times New Roman" w:hAnsi="Verdana"/>
          <w:sz w:val="21"/>
          <w:szCs w:val="21"/>
        </w:rPr>
        <w:t>Are less likely to feel trapped in a daily routine (33% vs. 39%).</w:t>
      </w:r>
    </w:p>
    <w:p w:rsidR="00E2400B" w:rsidRDefault="00E2400B" w:rsidP="00E2400B">
      <w:pPr>
        <w:numPr>
          <w:ilvl w:val="0"/>
          <w:numId w:val="7"/>
        </w:numPr>
        <w:spacing w:before="100" w:beforeAutospacing="1" w:after="100" w:afterAutospacing="1"/>
        <w:rPr>
          <w:rFonts w:eastAsia="Times New Roman"/>
        </w:rPr>
      </w:pPr>
      <w:r>
        <w:rPr>
          <w:rFonts w:ascii="Verdana" w:eastAsia="Times New Roman" w:hAnsi="Verdana"/>
          <w:sz w:val="21"/>
          <w:szCs w:val="21"/>
        </w:rPr>
        <w:t>Are somewhat more likely to report very strong satisfaction with life (61% vs. 57%).</w:t>
      </w:r>
    </w:p>
    <w:p w:rsidR="00E2400B" w:rsidRDefault="00E2400B" w:rsidP="00E2400B">
      <w:pPr>
        <w:pStyle w:val="NormalWeb"/>
      </w:pPr>
      <w:r>
        <w:rPr>
          <w:rFonts w:ascii="Verdana" w:hAnsi="Verdana"/>
          <w:sz w:val="21"/>
          <w:szCs w:val="21"/>
        </w:rPr>
        <w:t>In a statistical model of health, book readers have a 28% greater likelihood of reporting very good or excellent health than non-readers, even accounting for other factors. Book readers are 74% more likely than non-readers to have volunteered in the past year, even after controlling for other factors. In a model of satisfaction with life, book readers have a 15% greater likelihood of reporting very strong satisfaction with life than non-readers, once other factors were accounted for in the model.</w:t>
      </w:r>
    </w:p>
    <w:p w:rsidR="00E2400B" w:rsidRDefault="00E2400B" w:rsidP="00E2400B">
      <w:pPr>
        <w:pStyle w:val="Heading4"/>
        <w:rPr>
          <w:rFonts w:eastAsia="Times New Roman"/>
        </w:rPr>
      </w:pPr>
      <w:r>
        <w:rPr>
          <w:rFonts w:ascii="Verdana" w:eastAsia="Times New Roman" w:hAnsi="Verdana"/>
          <w:sz w:val="21"/>
          <w:szCs w:val="21"/>
        </w:rPr>
        <w:t>Data source</w:t>
      </w:r>
    </w:p>
    <w:p w:rsidR="00E2400B" w:rsidRDefault="00E2400B" w:rsidP="00E2400B">
      <w:pPr>
        <w:pStyle w:val="NormalWeb"/>
      </w:pPr>
      <w:r>
        <w:rPr>
          <w:rFonts w:ascii="Verdana" w:hAnsi="Verdana"/>
          <w:sz w:val="21"/>
          <w:szCs w:val="21"/>
        </w:rPr>
        <w:lastRenderedPageBreak/>
        <w:t xml:space="preserve">This </w:t>
      </w:r>
      <w:r>
        <w:rPr>
          <w:rStyle w:val="Emphasis"/>
          <w:rFonts w:ascii="Verdana" w:hAnsi="Verdana"/>
          <w:sz w:val="21"/>
          <w:szCs w:val="21"/>
        </w:rPr>
        <w:t xml:space="preserve">Statistical Insights on the Arts </w:t>
      </w:r>
      <w:r>
        <w:rPr>
          <w:rFonts w:ascii="Verdana" w:hAnsi="Verdana"/>
          <w:sz w:val="21"/>
          <w:szCs w:val="21"/>
        </w:rPr>
        <w:t>report follows similar studies in the United States and Norway that showed a connection between cultural participation and health, well-being, volunteer rates, and other social indicators.</w:t>
      </w:r>
    </w:p>
    <w:p w:rsidR="00E2400B" w:rsidRDefault="00E2400B" w:rsidP="00E2400B">
      <w:pPr>
        <w:pStyle w:val="NormalWeb"/>
      </w:pPr>
      <w:r>
        <w:rPr>
          <w:rFonts w:ascii="Verdana" w:hAnsi="Verdana"/>
          <w:sz w:val="21"/>
          <w:szCs w:val="21"/>
        </w:rPr>
        <w:t>The data in this report are drawn from Statistics Canada’s General Social Survey of 2010, an in-depth telephone survey of about 7,500 Canadians 15 years of age or older. “Cultural attendees” are defined as anyone who went at least once to the relevant cultural activity in 2010. This is a low threshold of cultural participation, as repeated (or deeply engaged) cultural experiences may generate stronger social connections. Also, many cultural activities do not have explicit social goals.</w:t>
      </w:r>
    </w:p>
    <w:p w:rsidR="00E2400B" w:rsidRDefault="00E2400B" w:rsidP="00E2400B">
      <w:pPr>
        <w:pStyle w:val="Heading4"/>
        <w:rPr>
          <w:rFonts w:eastAsia="Times New Roman"/>
        </w:rPr>
      </w:pPr>
      <w:r>
        <w:rPr>
          <w:rStyle w:val="Strong"/>
          <w:rFonts w:ascii="Verdana" w:eastAsia="Times New Roman" w:hAnsi="Verdana"/>
          <w:b/>
          <w:bCs/>
          <w:i/>
          <w:iCs/>
          <w:sz w:val="21"/>
          <w:szCs w:val="21"/>
        </w:rPr>
        <w:t>Eight social indicators</w:t>
      </w:r>
    </w:p>
    <w:p w:rsidR="00E2400B" w:rsidRDefault="00E2400B" w:rsidP="00E2400B">
      <w:pPr>
        <w:pStyle w:val="NormalWeb"/>
      </w:pPr>
      <w:r>
        <w:rPr>
          <w:rFonts w:ascii="Verdana" w:hAnsi="Verdana"/>
          <w:sz w:val="21"/>
          <w:szCs w:val="21"/>
        </w:rPr>
        <w:t>The wording of the General Social Survey questions, as well as the researcher-created groupings of the eight social indicators, follows:</w:t>
      </w:r>
    </w:p>
    <w:p w:rsidR="00E2400B" w:rsidRDefault="00E2400B" w:rsidP="00E2400B">
      <w:pPr>
        <w:numPr>
          <w:ilvl w:val="0"/>
          <w:numId w:val="8"/>
        </w:numPr>
        <w:spacing w:before="100" w:beforeAutospacing="1" w:after="100" w:afterAutospacing="1"/>
        <w:rPr>
          <w:rFonts w:eastAsia="Times New Roman"/>
        </w:rPr>
      </w:pPr>
      <w:r>
        <w:rPr>
          <w:rFonts w:ascii="Verdana" w:eastAsia="Times New Roman" w:hAnsi="Verdana"/>
          <w:sz w:val="21"/>
          <w:szCs w:val="21"/>
        </w:rPr>
        <w:t xml:space="preserve">Self-reported health: "In general, would you say your health is: excellent? </w:t>
      </w:r>
      <w:proofErr w:type="gramStart"/>
      <w:r>
        <w:rPr>
          <w:rFonts w:ascii="Verdana" w:eastAsia="Times New Roman" w:hAnsi="Verdana"/>
          <w:sz w:val="21"/>
          <w:szCs w:val="21"/>
        </w:rPr>
        <w:t>very</w:t>
      </w:r>
      <w:proofErr w:type="gramEnd"/>
      <w:r>
        <w:rPr>
          <w:rFonts w:ascii="Verdana" w:eastAsia="Times New Roman" w:hAnsi="Verdana"/>
          <w:sz w:val="21"/>
          <w:szCs w:val="21"/>
        </w:rPr>
        <w:t xml:space="preserve"> good? </w:t>
      </w:r>
      <w:proofErr w:type="gramStart"/>
      <w:r>
        <w:rPr>
          <w:rFonts w:ascii="Verdana" w:eastAsia="Times New Roman" w:hAnsi="Verdana"/>
          <w:sz w:val="21"/>
          <w:szCs w:val="21"/>
        </w:rPr>
        <w:t>good</w:t>
      </w:r>
      <w:proofErr w:type="gramEnd"/>
      <w:r>
        <w:rPr>
          <w:rFonts w:ascii="Verdana" w:eastAsia="Times New Roman" w:hAnsi="Verdana"/>
          <w:sz w:val="21"/>
          <w:szCs w:val="21"/>
        </w:rPr>
        <w:t xml:space="preserve">? </w:t>
      </w:r>
      <w:proofErr w:type="gramStart"/>
      <w:r>
        <w:rPr>
          <w:rFonts w:ascii="Verdana" w:eastAsia="Times New Roman" w:hAnsi="Verdana"/>
          <w:sz w:val="21"/>
          <w:szCs w:val="21"/>
        </w:rPr>
        <w:t>fair</w:t>
      </w:r>
      <w:proofErr w:type="gramEnd"/>
      <w:r>
        <w:rPr>
          <w:rFonts w:ascii="Verdana" w:eastAsia="Times New Roman" w:hAnsi="Verdana"/>
          <w:sz w:val="21"/>
          <w:szCs w:val="21"/>
        </w:rPr>
        <w:t xml:space="preserve">? </w:t>
      </w:r>
      <w:proofErr w:type="gramStart"/>
      <w:r>
        <w:rPr>
          <w:rFonts w:ascii="Verdana" w:eastAsia="Times New Roman" w:hAnsi="Verdana"/>
          <w:sz w:val="21"/>
          <w:szCs w:val="21"/>
        </w:rPr>
        <w:t>poor</w:t>
      </w:r>
      <w:proofErr w:type="gramEnd"/>
      <w:r>
        <w:rPr>
          <w:rFonts w:ascii="Verdana" w:eastAsia="Times New Roman" w:hAnsi="Verdana"/>
          <w:sz w:val="21"/>
          <w:szCs w:val="21"/>
        </w:rPr>
        <w:t>?" For this indicator, those responding excellent or very good were compared with those responding good, fair, or poor.</w:t>
      </w:r>
    </w:p>
    <w:p w:rsidR="00E2400B" w:rsidRDefault="00E2400B" w:rsidP="00E2400B">
      <w:pPr>
        <w:numPr>
          <w:ilvl w:val="0"/>
          <w:numId w:val="8"/>
        </w:numPr>
        <w:spacing w:before="100" w:beforeAutospacing="1" w:after="100" w:afterAutospacing="1"/>
        <w:rPr>
          <w:rFonts w:eastAsia="Times New Roman"/>
        </w:rPr>
      </w:pPr>
      <w:r>
        <w:rPr>
          <w:rFonts w:ascii="Verdana" w:eastAsia="Times New Roman" w:hAnsi="Verdana"/>
          <w:sz w:val="21"/>
          <w:szCs w:val="21"/>
        </w:rPr>
        <w:t xml:space="preserve">Self-reported mental health: "In general, would you say your mental health is: excellent? </w:t>
      </w:r>
      <w:proofErr w:type="gramStart"/>
      <w:r>
        <w:rPr>
          <w:rFonts w:ascii="Verdana" w:eastAsia="Times New Roman" w:hAnsi="Verdana"/>
          <w:sz w:val="21"/>
          <w:szCs w:val="21"/>
        </w:rPr>
        <w:t>very</w:t>
      </w:r>
      <w:proofErr w:type="gramEnd"/>
      <w:r>
        <w:rPr>
          <w:rFonts w:ascii="Verdana" w:eastAsia="Times New Roman" w:hAnsi="Verdana"/>
          <w:sz w:val="21"/>
          <w:szCs w:val="21"/>
        </w:rPr>
        <w:t xml:space="preserve"> good? </w:t>
      </w:r>
      <w:proofErr w:type="gramStart"/>
      <w:r>
        <w:rPr>
          <w:rFonts w:ascii="Verdana" w:eastAsia="Times New Roman" w:hAnsi="Verdana"/>
          <w:sz w:val="21"/>
          <w:szCs w:val="21"/>
        </w:rPr>
        <w:t>good</w:t>
      </w:r>
      <w:proofErr w:type="gramEnd"/>
      <w:r>
        <w:rPr>
          <w:rFonts w:ascii="Verdana" w:eastAsia="Times New Roman" w:hAnsi="Verdana"/>
          <w:sz w:val="21"/>
          <w:szCs w:val="21"/>
        </w:rPr>
        <w:t xml:space="preserve">? </w:t>
      </w:r>
      <w:proofErr w:type="gramStart"/>
      <w:r>
        <w:rPr>
          <w:rFonts w:ascii="Verdana" w:eastAsia="Times New Roman" w:hAnsi="Verdana"/>
          <w:sz w:val="21"/>
          <w:szCs w:val="21"/>
        </w:rPr>
        <w:t>fair</w:t>
      </w:r>
      <w:proofErr w:type="gramEnd"/>
      <w:r>
        <w:rPr>
          <w:rFonts w:ascii="Verdana" w:eastAsia="Times New Roman" w:hAnsi="Verdana"/>
          <w:sz w:val="21"/>
          <w:szCs w:val="21"/>
        </w:rPr>
        <w:t xml:space="preserve">? </w:t>
      </w:r>
      <w:proofErr w:type="gramStart"/>
      <w:r>
        <w:rPr>
          <w:rFonts w:ascii="Verdana" w:eastAsia="Times New Roman" w:hAnsi="Verdana"/>
          <w:sz w:val="21"/>
          <w:szCs w:val="21"/>
        </w:rPr>
        <w:t>poor</w:t>
      </w:r>
      <w:proofErr w:type="gramEnd"/>
      <w:r>
        <w:rPr>
          <w:rFonts w:ascii="Verdana" w:eastAsia="Times New Roman" w:hAnsi="Verdana"/>
          <w:sz w:val="21"/>
          <w:szCs w:val="21"/>
        </w:rPr>
        <w:t>?" For this indicator, those responding excellent or very good were compared with those responding good, fair, or poor.</w:t>
      </w:r>
    </w:p>
    <w:p w:rsidR="00E2400B" w:rsidRDefault="00E2400B" w:rsidP="00E2400B">
      <w:pPr>
        <w:numPr>
          <w:ilvl w:val="0"/>
          <w:numId w:val="8"/>
        </w:numPr>
        <w:spacing w:before="100" w:beforeAutospacing="1" w:after="100" w:afterAutospacing="1"/>
        <w:rPr>
          <w:rFonts w:eastAsia="Times New Roman"/>
        </w:rPr>
      </w:pPr>
      <w:r>
        <w:rPr>
          <w:rFonts w:ascii="Verdana" w:eastAsia="Times New Roman" w:hAnsi="Verdana"/>
          <w:sz w:val="21"/>
          <w:szCs w:val="21"/>
        </w:rPr>
        <w:t>Volunteering: "In the past 12 months, did you do unpaid volunteer work for any organization?" Those who responded yes were compared with those who responded no.</w:t>
      </w:r>
    </w:p>
    <w:p w:rsidR="00E2400B" w:rsidRDefault="00E2400B" w:rsidP="00E2400B">
      <w:pPr>
        <w:numPr>
          <w:ilvl w:val="0"/>
          <w:numId w:val="8"/>
        </w:numPr>
        <w:spacing w:before="100" w:beforeAutospacing="1" w:after="100" w:afterAutospacing="1"/>
        <w:rPr>
          <w:rFonts w:eastAsia="Times New Roman"/>
        </w:rPr>
      </w:pPr>
      <w:r>
        <w:rPr>
          <w:rFonts w:ascii="Verdana" w:eastAsia="Times New Roman" w:hAnsi="Verdana"/>
          <w:sz w:val="21"/>
          <w:szCs w:val="21"/>
        </w:rPr>
        <w:t>Feeling trapped in a daily routine: "Do you feel trapped in a daily routine?" Those who responded yes were compared with those who responded no.</w:t>
      </w:r>
    </w:p>
    <w:p w:rsidR="00E2400B" w:rsidRDefault="00E2400B" w:rsidP="00E2400B">
      <w:pPr>
        <w:numPr>
          <w:ilvl w:val="0"/>
          <w:numId w:val="8"/>
        </w:numPr>
        <w:spacing w:before="100" w:beforeAutospacing="1" w:after="100" w:afterAutospacing="1"/>
        <w:rPr>
          <w:rFonts w:eastAsia="Times New Roman"/>
        </w:rPr>
      </w:pPr>
      <w:r>
        <w:rPr>
          <w:rFonts w:ascii="Verdana" w:eastAsia="Times New Roman" w:hAnsi="Verdana"/>
          <w:sz w:val="21"/>
          <w:szCs w:val="21"/>
        </w:rPr>
        <w:t xml:space="preserve">Stress in daily life: "Thinking about the amount of stress in your life, would you say that most days are: … not at all stressful? … </w:t>
      </w:r>
      <w:proofErr w:type="gramStart"/>
      <w:r>
        <w:rPr>
          <w:rFonts w:ascii="Verdana" w:eastAsia="Times New Roman" w:hAnsi="Verdana"/>
          <w:sz w:val="21"/>
          <w:szCs w:val="21"/>
        </w:rPr>
        <w:t>not</w:t>
      </w:r>
      <w:proofErr w:type="gramEnd"/>
      <w:r>
        <w:rPr>
          <w:rFonts w:ascii="Verdana" w:eastAsia="Times New Roman" w:hAnsi="Verdana"/>
          <w:sz w:val="21"/>
          <w:szCs w:val="21"/>
        </w:rPr>
        <w:t xml:space="preserve"> very stressful? … </w:t>
      </w:r>
      <w:proofErr w:type="gramStart"/>
      <w:r>
        <w:rPr>
          <w:rFonts w:ascii="Verdana" w:eastAsia="Times New Roman" w:hAnsi="Verdana"/>
          <w:sz w:val="21"/>
          <w:szCs w:val="21"/>
        </w:rPr>
        <w:t>a</w:t>
      </w:r>
      <w:proofErr w:type="gramEnd"/>
      <w:r>
        <w:rPr>
          <w:rFonts w:ascii="Verdana" w:eastAsia="Times New Roman" w:hAnsi="Verdana"/>
          <w:sz w:val="21"/>
          <w:szCs w:val="21"/>
        </w:rPr>
        <w:t xml:space="preserve"> bit stressful? … </w:t>
      </w:r>
      <w:proofErr w:type="gramStart"/>
      <w:r>
        <w:rPr>
          <w:rFonts w:ascii="Verdana" w:eastAsia="Times New Roman" w:hAnsi="Verdana"/>
          <w:sz w:val="21"/>
          <w:szCs w:val="21"/>
        </w:rPr>
        <w:t>quite</w:t>
      </w:r>
      <w:proofErr w:type="gramEnd"/>
      <w:r>
        <w:rPr>
          <w:rFonts w:ascii="Verdana" w:eastAsia="Times New Roman" w:hAnsi="Verdana"/>
          <w:sz w:val="21"/>
          <w:szCs w:val="21"/>
        </w:rPr>
        <w:t xml:space="preserve"> a bit stressful? … extremely stressful?" For this indicator, those responding not at all or not very were compared with those responding a bit, quite a bit, or extremely.</w:t>
      </w:r>
    </w:p>
    <w:p w:rsidR="00E2400B" w:rsidRDefault="00E2400B" w:rsidP="00E2400B">
      <w:pPr>
        <w:numPr>
          <w:ilvl w:val="0"/>
          <w:numId w:val="8"/>
        </w:numPr>
        <w:spacing w:before="100" w:beforeAutospacing="1" w:after="100" w:afterAutospacing="1"/>
        <w:rPr>
          <w:rFonts w:eastAsia="Times New Roman"/>
        </w:rPr>
      </w:pPr>
      <w:r>
        <w:rPr>
          <w:rFonts w:ascii="Verdana" w:eastAsia="Times New Roman" w:hAnsi="Verdana"/>
          <w:sz w:val="21"/>
          <w:szCs w:val="21"/>
        </w:rPr>
        <w:t xml:space="preserve">Knowledge of </w:t>
      </w:r>
      <w:proofErr w:type="spellStart"/>
      <w:r>
        <w:rPr>
          <w:rFonts w:ascii="Verdana" w:eastAsia="Times New Roman" w:hAnsi="Verdana"/>
          <w:sz w:val="21"/>
          <w:szCs w:val="21"/>
        </w:rPr>
        <w:t>neighbours</w:t>
      </w:r>
      <w:proofErr w:type="spellEnd"/>
      <w:r>
        <w:rPr>
          <w:rFonts w:ascii="Verdana" w:eastAsia="Times New Roman" w:hAnsi="Verdana"/>
          <w:sz w:val="21"/>
          <w:szCs w:val="21"/>
        </w:rPr>
        <w:t xml:space="preserve">: "Would you say that you know most, many, a few or none of the people in your </w:t>
      </w:r>
      <w:proofErr w:type="spellStart"/>
      <w:r>
        <w:rPr>
          <w:rFonts w:ascii="Verdana" w:eastAsia="Times New Roman" w:hAnsi="Verdana"/>
          <w:sz w:val="21"/>
          <w:szCs w:val="21"/>
        </w:rPr>
        <w:t>neighbourhood</w:t>
      </w:r>
      <w:proofErr w:type="spellEnd"/>
      <w:r>
        <w:rPr>
          <w:rFonts w:ascii="Verdana" w:eastAsia="Times New Roman" w:hAnsi="Verdana"/>
          <w:sz w:val="21"/>
          <w:szCs w:val="21"/>
        </w:rPr>
        <w:t>?" For this indicator, those responding most or many were compared with those responding a few or none.</w:t>
      </w:r>
    </w:p>
    <w:p w:rsidR="00E2400B" w:rsidRDefault="00E2400B" w:rsidP="00E2400B">
      <w:pPr>
        <w:numPr>
          <w:ilvl w:val="0"/>
          <w:numId w:val="8"/>
        </w:numPr>
        <w:spacing w:before="100" w:beforeAutospacing="1" w:after="100" w:afterAutospacing="1"/>
        <w:rPr>
          <w:rFonts w:eastAsia="Times New Roman"/>
        </w:rPr>
      </w:pPr>
      <w:proofErr w:type="spellStart"/>
      <w:r>
        <w:rPr>
          <w:rFonts w:ascii="Verdana" w:eastAsia="Times New Roman" w:hAnsi="Verdana"/>
          <w:sz w:val="21"/>
          <w:szCs w:val="21"/>
        </w:rPr>
        <w:t>Favour</w:t>
      </w:r>
      <w:proofErr w:type="spellEnd"/>
      <w:r>
        <w:rPr>
          <w:rFonts w:ascii="Verdana" w:eastAsia="Times New Roman" w:hAnsi="Verdana"/>
          <w:sz w:val="21"/>
          <w:szCs w:val="21"/>
        </w:rPr>
        <w:t xml:space="preserve"> for a </w:t>
      </w:r>
      <w:proofErr w:type="spellStart"/>
      <w:r>
        <w:rPr>
          <w:rFonts w:ascii="Verdana" w:eastAsia="Times New Roman" w:hAnsi="Verdana"/>
          <w:sz w:val="21"/>
          <w:szCs w:val="21"/>
        </w:rPr>
        <w:t>neighbour</w:t>
      </w:r>
      <w:proofErr w:type="spellEnd"/>
      <w:r>
        <w:rPr>
          <w:rFonts w:ascii="Verdana" w:eastAsia="Times New Roman" w:hAnsi="Verdana"/>
          <w:sz w:val="21"/>
          <w:szCs w:val="21"/>
        </w:rPr>
        <w:t xml:space="preserve">: "In the past month, have you done a </w:t>
      </w:r>
      <w:proofErr w:type="spellStart"/>
      <w:r>
        <w:rPr>
          <w:rFonts w:ascii="Verdana" w:eastAsia="Times New Roman" w:hAnsi="Verdana"/>
          <w:sz w:val="21"/>
          <w:szCs w:val="21"/>
        </w:rPr>
        <w:t>favour</w:t>
      </w:r>
      <w:proofErr w:type="spellEnd"/>
      <w:r>
        <w:rPr>
          <w:rFonts w:ascii="Verdana" w:eastAsia="Times New Roman" w:hAnsi="Verdana"/>
          <w:sz w:val="21"/>
          <w:szCs w:val="21"/>
        </w:rPr>
        <w:t xml:space="preserve"> for a </w:t>
      </w:r>
      <w:proofErr w:type="spellStart"/>
      <w:r>
        <w:rPr>
          <w:rFonts w:ascii="Verdana" w:eastAsia="Times New Roman" w:hAnsi="Verdana"/>
          <w:sz w:val="21"/>
          <w:szCs w:val="21"/>
        </w:rPr>
        <w:t>neighbour</w:t>
      </w:r>
      <w:proofErr w:type="spellEnd"/>
      <w:r>
        <w:rPr>
          <w:rFonts w:ascii="Verdana" w:eastAsia="Times New Roman" w:hAnsi="Verdana"/>
          <w:sz w:val="21"/>
          <w:szCs w:val="21"/>
        </w:rPr>
        <w:t>?" Those who responded yes were compared with those who responded no.</w:t>
      </w:r>
    </w:p>
    <w:p w:rsidR="00E2400B" w:rsidRDefault="00E2400B" w:rsidP="00E2400B">
      <w:pPr>
        <w:numPr>
          <w:ilvl w:val="0"/>
          <w:numId w:val="8"/>
        </w:numPr>
        <w:spacing w:before="100" w:beforeAutospacing="1" w:after="100" w:afterAutospacing="1"/>
        <w:rPr>
          <w:rFonts w:eastAsia="Times New Roman"/>
        </w:rPr>
      </w:pPr>
      <w:r>
        <w:rPr>
          <w:rFonts w:ascii="Verdana" w:eastAsia="Times New Roman" w:hAnsi="Verdana"/>
          <w:sz w:val="21"/>
          <w:szCs w:val="21"/>
        </w:rPr>
        <w:t xml:space="preserve">Self-reported satisfaction with life: "Using a scale of 1 to 10 where 1 means "Very dissatisfied" and 10 means "Very satisfied", how do you feel about your life as a whole right now?" For this indicator, those reporting very strong satisfaction with life (i.e., eight or higher) were compared with those reporting lower satisfaction with life (i.e., seven or less). The Canadian </w:t>
      </w:r>
      <w:proofErr w:type="gramStart"/>
      <w:r>
        <w:rPr>
          <w:rFonts w:ascii="Verdana" w:eastAsia="Times New Roman" w:hAnsi="Verdana"/>
          <w:sz w:val="21"/>
          <w:szCs w:val="21"/>
        </w:rPr>
        <w:t>average is 7.6, so those reporting eight or higher have</w:t>
      </w:r>
      <w:proofErr w:type="gramEnd"/>
      <w:r>
        <w:rPr>
          <w:rFonts w:ascii="Verdana" w:eastAsia="Times New Roman" w:hAnsi="Verdana"/>
          <w:sz w:val="21"/>
          <w:szCs w:val="21"/>
        </w:rPr>
        <w:t xml:space="preserve"> above-average satisfaction with life.</w:t>
      </w:r>
    </w:p>
    <w:p w:rsidR="00E2400B" w:rsidRDefault="00E2400B" w:rsidP="00E2400B">
      <w:pPr>
        <w:pStyle w:val="NormalWeb"/>
      </w:pPr>
      <w:r>
        <w:rPr>
          <w:rFonts w:ascii="Verdana" w:hAnsi="Verdana"/>
          <w:sz w:val="21"/>
          <w:szCs w:val="21"/>
        </w:rPr>
        <w:t xml:space="preserve">Previous reports in the </w:t>
      </w:r>
      <w:r>
        <w:rPr>
          <w:rStyle w:val="Emphasis"/>
          <w:rFonts w:ascii="Verdana" w:hAnsi="Verdana"/>
          <w:sz w:val="21"/>
          <w:szCs w:val="21"/>
        </w:rPr>
        <w:t>Statistical Insights on the Arts</w:t>
      </w:r>
      <w:r>
        <w:rPr>
          <w:rFonts w:ascii="Verdana" w:hAnsi="Verdana"/>
          <w:sz w:val="21"/>
          <w:szCs w:val="21"/>
        </w:rPr>
        <w:t xml:space="preserve"> series examined national and provincial data on arts and culture participation, as well as factors in arts attendance. The same 18 arts, culture, and heritage activities have been examined in each of the reports:</w:t>
      </w:r>
    </w:p>
    <w:p w:rsidR="00E2400B" w:rsidRDefault="00E2400B" w:rsidP="00E2400B">
      <w:pPr>
        <w:numPr>
          <w:ilvl w:val="0"/>
          <w:numId w:val="9"/>
        </w:numPr>
        <w:spacing w:before="100" w:beforeAutospacing="1" w:after="100" w:afterAutospacing="1"/>
        <w:rPr>
          <w:rFonts w:eastAsia="Times New Roman"/>
        </w:rPr>
      </w:pPr>
      <w:r>
        <w:rPr>
          <w:rFonts w:ascii="Verdana" w:eastAsia="Times New Roman" w:hAnsi="Verdana"/>
          <w:sz w:val="21"/>
          <w:szCs w:val="21"/>
        </w:rPr>
        <w:lastRenderedPageBreak/>
        <w:t xml:space="preserve">Visiting a </w:t>
      </w:r>
      <w:r>
        <w:rPr>
          <w:rStyle w:val="Strong"/>
          <w:rFonts w:ascii="Verdana" w:eastAsia="Times New Roman" w:hAnsi="Verdana"/>
          <w:sz w:val="21"/>
          <w:szCs w:val="21"/>
        </w:rPr>
        <w:t>public art gallery</w:t>
      </w:r>
      <w:r>
        <w:rPr>
          <w:rFonts w:ascii="Verdana" w:eastAsia="Times New Roman" w:hAnsi="Verdana"/>
          <w:sz w:val="21"/>
          <w:szCs w:val="21"/>
        </w:rPr>
        <w:t xml:space="preserve"> or art museum (including attendance at special art exhibits)</w:t>
      </w:r>
    </w:p>
    <w:p w:rsidR="00E2400B" w:rsidRDefault="00E2400B" w:rsidP="00E2400B">
      <w:pPr>
        <w:numPr>
          <w:ilvl w:val="0"/>
          <w:numId w:val="9"/>
        </w:numPr>
        <w:spacing w:before="100" w:beforeAutospacing="1" w:after="100" w:afterAutospacing="1"/>
        <w:rPr>
          <w:rFonts w:eastAsia="Times New Roman"/>
        </w:rPr>
      </w:pPr>
      <w:r>
        <w:rPr>
          <w:rFonts w:ascii="Verdana" w:eastAsia="Times New Roman" w:hAnsi="Verdana"/>
          <w:sz w:val="21"/>
          <w:szCs w:val="21"/>
        </w:rPr>
        <w:t xml:space="preserve">Visiting </w:t>
      </w:r>
      <w:r>
        <w:rPr>
          <w:rStyle w:val="Strong"/>
          <w:rFonts w:ascii="Verdana" w:eastAsia="Times New Roman" w:hAnsi="Verdana"/>
          <w:sz w:val="21"/>
          <w:szCs w:val="21"/>
        </w:rPr>
        <w:t>museums other than public art galleries</w:t>
      </w:r>
      <w:r>
        <w:rPr>
          <w:rFonts w:ascii="Verdana" w:eastAsia="Times New Roman" w:hAnsi="Verdana"/>
          <w:sz w:val="21"/>
          <w:szCs w:val="21"/>
        </w:rPr>
        <w:t xml:space="preserve"> or art museums</w:t>
      </w:r>
    </w:p>
    <w:p w:rsidR="00E2400B" w:rsidRDefault="00E2400B" w:rsidP="00E2400B">
      <w:pPr>
        <w:numPr>
          <w:ilvl w:val="0"/>
          <w:numId w:val="9"/>
        </w:numPr>
        <w:spacing w:before="100" w:beforeAutospacing="1" w:after="100" w:afterAutospacing="1"/>
        <w:rPr>
          <w:rFonts w:eastAsia="Times New Roman"/>
        </w:rPr>
      </w:pPr>
      <w:r>
        <w:rPr>
          <w:rFonts w:ascii="Verdana" w:eastAsia="Times New Roman" w:hAnsi="Verdana"/>
          <w:sz w:val="21"/>
          <w:szCs w:val="21"/>
        </w:rPr>
        <w:t xml:space="preserve">Attending a </w:t>
      </w:r>
      <w:r>
        <w:rPr>
          <w:rStyle w:val="Strong"/>
          <w:rFonts w:ascii="Verdana" w:eastAsia="Times New Roman" w:hAnsi="Verdana"/>
          <w:sz w:val="21"/>
          <w:szCs w:val="21"/>
        </w:rPr>
        <w:t>theatrical performance</w:t>
      </w:r>
      <w:r>
        <w:rPr>
          <w:rFonts w:ascii="Verdana" w:eastAsia="Times New Roman" w:hAnsi="Verdana"/>
          <w:sz w:val="21"/>
          <w:szCs w:val="21"/>
        </w:rPr>
        <w:t xml:space="preserve"> such as drama, musical theatre, dinner theatre, comedy</w:t>
      </w:r>
    </w:p>
    <w:p w:rsidR="00E2400B" w:rsidRDefault="00E2400B" w:rsidP="00E2400B">
      <w:pPr>
        <w:numPr>
          <w:ilvl w:val="0"/>
          <w:numId w:val="9"/>
        </w:numPr>
        <w:spacing w:before="100" w:beforeAutospacing="1" w:after="100" w:afterAutospacing="1"/>
        <w:rPr>
          <w:rFonts w:eastAsia="Times New Roman"/>
        </w:rPr>
      </w:pPr>
      <w:r>
        <w:rPr>
          <w:rFonts w:ascii="Verdana" w:eastAsia="Times New Roman" w:hAnsi="Verdana"/>
          <w:sz w:val="21"/>
          <w:szCs w:val="21"/>
        </w:rPr>
        <w:t xml:space="preserve">Attending a </w:t>
      </w:r>
      <w:r>
        <w:rPr>
          <w:rStyle w:val="Strong"/>
          <w:rFonts w:ascii="Verdana" w:eastAsia="Times New Roman" w:hAnsi="Verdana"/>
          <w:sz w:val="21"/>
          <w:szCs w:val="21"/>
        </w:rPr>
        <w:t>popular musical performance</w:t>
      </w:r>
      <w:r>
        <w:rPr>
          <w:rFonts w:ascii="Verdana" w:eastAsia="Times New Roman" w:hAnsi="Verdana"/>
          <w:sz w:val="21"/>
          <w:szCs w:val="21"/>
        </w:rPr>
        <w:t xml:space="preserve"> such as pop, rock, jazz, blues, folk, country and western</w:t>
      </w:r>
    </w:p>
    <w:p w:rsidR="00E2400B" w:rsidRDefault="00E2400B" w:rsidP="00E2400B">
      <w:pPr>
        <w:numPr>
          <w:ilvl w:val="0"/>
          <w:numId w:val="9"/>
        </w:numPr>
        <w:spacing w:before="100" w:beforeAutospacing="1" w:after="100" w:afterAutospacing="1"/>
        <w:rPr>
          <w:rFonts w:eastAsia="Times New Roman"/>
        </w:rPr>
      </w:pPr>
      <w:r>
        <w:rPr>
          <w:rFonts w:ascii="Verdana" w:eastAsia="Times New Roman" w:hAnsi="Verdana"/>
          <w:sz w:val="21"/>
          <w:szCs w:val="21"/>
        </w:rPr>
        <w:t xml:space="preserve">Attending a symphonic or </w:t>
      </w:r>
      <w:r>
        <w:rPr>
          <w:rStyle w:val="Strong"/>
          <w:rFonts w:ascii="Verdana" w:eastAsia="Times New Roman" w:hAnsi="Verdana"/>
          <w:sz w:val="21"/>
          <w:szCs w:val="21"/>
        </w:rPr>
        <w:t>classical music performance</w:t>
      </w:r>
    </w:p>
    <w:p w:rsidR="00E2400B" w:rsidRDefault="00E2400B" w:rsidP="00E2400B">
      <w:pPr>
        <w:numPr>
          <w:ilvl w:val="0"/>
          <w:numId w:val="9"/>
        </w:numPr>
        <w:spacing w:before="100" w:beforeAutospacing="1" w:after="100" w:afterAutospacing="1"/>
        <w:rPr>
          <w:rFonts w:eastAsia="Times New Roman"/>
        </w:rPr>
      </w:pPr>
      <w:r>
        <w:rPr>
          <w:rFonts w:ascii="Verdana" w:eastAsia="Times New Roman" w:hAnsi="Verdana"/>
          <w:sz w:val="21"/>
          <w:szCs w:val="21"/>
        </w:rPr>
        <w:t xml:space="preserve">Attending a </w:t>
      </w:r>
      <w:r>
        <w:rPr>
          <w:rStyle w:val="Strong"/>
          <w:rFonts w:ascii="Verdana" w:eastAsia="Times New Roman" w:hAnsi="Verdana"/>
          <w:sz w:val="21"/>
          <w:szCs w:val="21"/>
        </w:rPr>
        <w:t>cultural or artistic festival</w:t>
      </w:r>
      <w:r>
        <w:rPr>
          <w:rFonts w:ascii="Verdana" w:eastAsia="Times New Roman" w:hAnsi="Verdana"/>
          <w:sz w:val="21"/>
          <w:szCs w:val="21"/>
        </w:rPr>
        <w:t xml:space="preserve"> (such as film, fringe, dance, jazz, folk, rock, </w:t>
      </w:r>
      <w:proofErr w:type="spellStart"/>
      <w:r>
        <w:rPr>
          <w:rFonts w:ascii="Verdana" w:eastAsia="Times New Roman" w:hAnsi="Verdana"/>
          <w:sz w:val="21"/>
          <w:szCs w:val="21"/>
        </w:rPr>
        <w:t>buskers</w:t>
      </w:r>
      <w:proofErr w:type="spellEnd"/>
      <w:r>
        <w:rPr>
          <w:rFonts w:ascii="Verdana" w:eastAsia="Times New Roman" w:hAnsi="Verdana"/>
          <w:sz w:val="21"/>
          <w:szCs w:val="21"/>
        </w:rPr>
        <w:t xml:space="preserve"> or comedy)</w:t>
      </w:r>
    </w:p>
    <w:p w:rsidR="00E2400B" w:rsidRDefault="00E2400B" w:rsidP="00E2400B">
      <w:pPr>
        <w:numPr>
          <w:ilvl w:val="0"/>
          <w:numId w:val="9"/>
        </w:numPr>
        <w:spacing w:before="100" w:beforeAutospacing="1" w:after="100" w:afterAutospacing="1"/>
        <w:rPr>
          <w:rFonts w:eastAsia="Times New Roman"/>
        </w:rPr>
      </w:pPr>
      <w:r>
        <w:rPr>
          <w:rFonts w:ascii="Verdana" w:eastAsia="Times New Roman" w:hAnsi="Verdana"/>
          <w:sz w:val="21"/>
          <w:szCs w:val="21"/>
        </w:rPr>
        <w:t xml:space="preserve">Attending a performance of </w:t>
      </w:r>
      <w:r>
        <w:rPr>
          <w:rStyle w:val="Strong"/>
          <w:rFonts w:ascii="Verdana" w:eastAsia="Times New Roman" w:hAnsi="Verdana"/>
          <w:sz w:val="21"/>
          <w:szCs w:val="21"/>
        </w:rPr>
        <w:t>cultural or heritage music, theatre or dance</w:t>
      </w:r>
      <w:r>
        <w:rPr>
          <w:rFonts w:ascii="Verdana" w:eastAsia="Times New Roman" w:hAnsi="Verdana"/>
          <w:sz w:val="21"/>
          <w:szCs w:val="21"/>
        </w:rPr>
        <w:t xml:space="preserve"> (e.g. Aboriginal Peoples, Chinese, Ukrainian)</w:t>
      </w:r>
    </w:p>
    <w:p w:rsidR="00E2400B" w:rsidRDefault="00E2400B" w:rsidP="00E2400B">
      <w:pPr>
        <w:numPr>
          <w:ilvl w:val="0"/>
          <w:numId w:val="9"/>
        </w:numPr>
        <w:spacing w:before="100" w:beforeAutospacing="1" w:after="100" w:afterAutospacing="1"/>
        <w:rPr>
          <w:rFonts w:eastAsia="Times New Roman"/>
        </w:rPr>
      </w:pPr>
      <w:r>
        <w:rPr>
          <w:rFonts w:ascii="Verdana" w:eastAsia="Times New Roman" w:hAnsi="Verdana"/>
          <w:sz w:val="21"/>
          <w:szCs w:val="21"/>
        </w:rPr>
        <w:t xml:space="preserve">Attending any </w:t>
      </w:r>
      <w:r>
        <w:rPr>
          <w:rStyle w:val="Strong"/>
          <w:rFonts w:ascii="Verdana" w:eastAsia="Times New Roman" w:hAnsi="Verdana"/>
          <w:sz w:val="21"/>
          <w:szCs w:val="21"/>
        </w:rPr>
        <w:t>other kind of cultural performance</w:t>
      </w:r>
    </w:p>
    <w:p w:rsidR="00E2400B" w:rsidRDefault="00E2400B" w:rsidP="00E2400B">
      <w:pPr>
        <w:numPr>
          <w:ilvl w:val="0"/>
          <w:numId w:val="9"/>
        </w:numPr>
        <w:spacing w:before="100" w:beforeAutospacing="1" w:after="100" w:afterAutospacing="1"/>
        <w:rPr>
          <w:rFonts w:eastAsia="Times New Roman"/>
        </w:rPr>
      </w:pPr>
      <w:r>
        <w:rPr>
          <w:rFonts w:ascii="Verdana" w:eastAsia="Times New Roman" w:hAnsi="Verdana"/>
          <w:sz w:val="21"/>
          <w:szCs w:val="21"/>
        </w:rPr>
        <w:t xml:space="preserve">Visiting an </w:t>
      </w:r>
      <w:r>
        <w:rPr>
          <w:rStyle w:val="Strong"/>
          <w:rFonts w:ascii="Verdana" w:eastAsia="Times New Roman" w:hAnsi="Verdana"/>
          <w:sz w:val="21"/>
          <w:szCs w:val="21"/>
        </w:rPr>
        <w:t>historic site</w:t>
      </w:r>
    </w:p>
    <w:p w:rsidR="00E2400B" w:rsidRDefault="00E2400B" w:rsidP="00E2400B">
      <w:pPr>
        <w:numPr>
          <w:ilvl w:val="0"/>
          <w:numId w:val="9"/>
        </w:numPr>
        <w:spacing w:before="100" w:beforeAutospacing="1" w:after="100" w:afterAutospacing="1"/>
        <w:rPr>
          <w:rFonts w:eastAsia="Times New Roman"/>
        </w:rPr>
      </w:pPr>
      <w:r>
        <w:rPr>
          <w:rFonts w:ascii="Verdana" w:eastAsia="Times New Roman" w:hAnsi="Verdana"/>
          <w:sz w:val="21"/>
          <w:szCs w:val="21"/>
        </w:rPr>
        <w:t xml:space="preserve">Visiting a </w:t>
      </w:r>
      <w:r>
        <w:rPr>
          <w:rStyle w:val="Strong"/>
          <w:rFonts w:ascii="Verdana" w:eastAsia="Times New Roman" w:hAnsi="Verdana"/>
          <w:sz w:val="21"/>
          <w:szCs w:val="21"/>
        </w:rPr>
        <w:t>zoo, aquarium, botanical garden, planetarium or observatory</w:t>
      </w:r>
    </w:p>
    <w:p w:rsidR="00E2400B" w:rsidRDefault="00E2400B" w:rsidP="00E2400B">
      <w:pPr>
        <w:numPr>
          <w:ilvl w:val="0"/>
          <w:numId w:val="9"/>
        </w:numPr>
        <w:spacing w:before="100" w:beforeAutospacing="1" w:after="100" w:afterAutospacing="1"/>
        <w:rPr>
          <w:rFonts w:eastAsia="Times New Roman"/>
        </w:rPr>
      </w:pPr>
      <w:r>
        <w:rPr>
          <w:rFonts w:ascii="Verdana" w:eastAsia="Times New Roman" w:hAnsi="Verdana"/>
          <w:sz w:val="21"/>
          <w:szCs w:val="21"/>
        </w:rPr>
        <w:t xml:space="preserve">Visiting a </w:t>
      </w:r>
      <w:r>
        <w:rPr>
          <w:rStyle w:val="Strong"/>
          <w:rFonts w:ascii="Verdana" w:eastAsia="Times New Roman" w:hAnsi="Verdana"/>
          <w:sz w:val="21"/>
          <w:szCs w:val="21"/>
        </w:rPr>
        <w:t>conservation area or nature park</w:t>
      </w:r>
    </w:p>
    <w:p w:rsidR="00E2400B" w:rsidRDefault="00E2400B" w:rsidP="00E2400B">
      <w:pPr>
        <w:numPr>
          <w:ilvl w:val="0"/>
          <w:numId w:val="9"/>
        </w:numPr>
        <w:spacing w:before="100" w:beforeAutospacing="1" w:after="100" w:afterAutospacing="1"/>
        <w:rPr>
          <w:rFonts w:eastAsia="Times New Roman"/>
        </w:rPr>
      </w:pPr>
      <w:r>
        <w:rPr>
          <w:rFonts w:ascii="Verdana" w:eastAsia="Times New Roman" w:hAnsi="Verdana"/>
          <w:sz w:val="21"/>
          <w:szCs w:val="21"/>
        </w:rPr>
        <w:t xml:space="preserve">Reading a </w:t>
      </w:r>
      <w:r>
        <w:rPr>
          <w:rStyle w:val="Strong"/>
          <w:rFonts w:ascii="Verdana" w:eastAsia="Times New Roman" w:hAnsi="Verdana"/>
          <w:sz w:val="21"/>
          <w:szCs w:val="21"/>
        </w:rPr>
        <w:t>newspaper</w:t>
      </w:r>
    </w:p>
    <w:p w:rsidR="00E2400B" w:rsidRDefault="00E2400B" w:rsidP="00E2400B">
      <w:pPr>
        <w:numPr>
          <w:ilvl w:val="0"/>
          <w:numId w:val="9"/>
        </w:numPr>
        <w:spacing w:before="100" w:beforeAutospacing="1" w:after="100" w:afterAutospacing="1"/>
        <w:rPr>
          <w:rFonts w:eastAsia="Times New Roman"/>
        </w:rPr>
      </w:pPr>
      <w:r>
        <w:rPr>
          <w:rFonts w:ascii="Verdana" w:eastAsia="Times New Roman" w:hAnsi="Verdana"/>
          <w:sz w:val="21"/>
          <w:szCs w:val="21"/>
        </w:rPr>
        <w:t xml:space="preserve">Reading a </w:t>
      </w:r>
      <w:r>
        <w:rPr>
          <w:rStyle w:val="Strong"/>
          <w:rFonts w:ascii="Verdana" w:eastAsia="Times New Roman" w:hAnsi="Verdana"/>
          <w:sz w:val="21"/>
          <w:szCs w:val="21"/>
        </w:rPr>
        <w:t>magazine</w:t>
      </w:r>
    </w:p>
    <w:p w:rsidR="00E2400B" w:rsidRDefault="00E2400B" w:rsidP="00E2400B">
      <w:pPr>
        <w:numPr>
          <w:ilvl w:val="0"/>
          <w:numId w:val="9"/>
        </w:numPr>
        <w:spacing w:before="100" w:beforeAutospacing="1" w:after="100" w:afterAutospacing="1"/>
        <w:rPr>
          <w:rFonts w:eastAsia="Times New Roman"/>
        </w:rPr>
      </w:pPr>
      <w:r>
        <w:rPr>
          <w:rFonts w:ascii="Verdana" w:eastAsia="Times New Roman" w:hAnsi="Verdana"/>
          <w:sz w:val="21"/>
          <w:szCs w:val="21"/>
        </w:rPr>
        <w:t xml:space="preserve">Reading a </w:t>
      </w:r>
      <w:r>
        <w:rPr>
          <w:rStyle w:val="Strong"/>
          <w:rFonts w:ascii="Verdana" w:eastAsia="Times New Roman" w:hAnsi="Verdana"/>
          <w:sz w:val="21"/>
          <w:szCs w:val="21"/>
        </w:rPr>
        <w:t>book</w:t>
      </w:r>
    </w:p>
    <w:p w:rsidR="00E2400B" w:rsidRDefault="00E2400B" w:rsidP="00E2400B">
      <w:pPr>
        <w:numPr>
          <w:ilvl w:val="0"/>
          <w:numId w:val="9"/>
        </w:numPr>
        <w:spacing w:before="100" w:beforeAutospacing="1" w:after="100" w:afterAutospacing="1"/>
        <w:rPr>
          <w:rFonts w:eastAsia="Times New Roman"/>
        </w:rPr>
      </w:pPr>
      <w:r>
        <w:rPr>
          <w:rFonts w:ascii="Verdana" w:eastAsia="Times New Roman" w:hAnsi="Verdana"/>
          <w:sz w:val="21"/>
          <w:szCs w:val="21"/>
        </w:rPr>
        <w:t xml:space="preserve">Going to a </w:t>
      </w:r>
      <w:r>
        <w:rPr>
          <w:rStyle w:val="Strong"/>
          <w:rFonts w:ascii="Verdana" w:eastAsia="Times New Roman" w:hAnsi="Verdana"/>
          <w:sz w:val="21"/>
          <w:szCs w:val="21"/>
        </w:rPr>
        <w:t>movie</w:t>
      </w:r>
      <w:r>
        <w:rPr>
          <w:rFonts w:ascii="Verdana" w:eastAsia="Times New Roman" w:hAnsi="Verdana"/>
          <w:sz w:val="21"/>
          <w:szCs w:val="21"/>
        </w:rPr>
        <w:t xml:space="preserve"> or drive-in</w:t>
      </w:r>
    </w:p>
    <w:p w:rsidR="00E2400B" w:rsidRDefault="00E2400B" w:rsidP="00E2400B">
      <w:pPr>
        <w:numPr>
          <w:ilvl w:val="0"/>
          <w:numId w:val="9"/>
        </w:numPr>
        <w:spacing w:before="100" w:beforeAutospacing="1" w:after="100" w:afterAutospacing="1"/>
        <w:rPr>
          <w:rFonts w:eastAsia="Times New Roman"/>
        </w:rPr>
      </w:pPr>
      <w:r>
        <w:rPr>
          <w:rFonts w:ascii="Verdana" w:eastAsia="Times New Roman" w:hAnsi="Verdana"/>
          <w:sz w:val="21"/>
          <w:szCs w:val="21"/>
        </w:rPr>
        <w:t xml:space="preserve">Watching a </w:t>
      </w:r>
      <w:r>
        <w:rPr>
          <w:rStyle w:val="Strong"/>
          <w:rFonts w:ascii="Verdana" w:eastAsia="Times New Roman" w:hAnsi="Verdana"/>
          <w:sz w:val="21"/>
          <w:szCs w:val="21"/>
        </w:rPr>
        <w:t>video</w:t>
      </w:r>
    </w:p>
    <w:p w:rsidR="00E2400B" w:rsidRDefault="00E2400B" w:rsidP="00E2400B">
      <w:pPr>
        <w:numPr>
          <w:ilvl w:val="0"/>
          <w:numId w:val="9"/>
        </w:numPr>
        <w:spacing w:before="100" w:beforeAutospacing="1" w:after="100" w:afterAutospacing="1"/>
        <w:rPr>
          <w:rFonts w:eastAsia="Times New Roman"/>
        </w:rPr>
      </w:pPr>
      <w:r>
        <w:rPr>
          <w:rFonts w:ascii="Verdana" w:eastAsia="Times New Roman" w:hAnsi="Verdana"/>
          <w:sz w:val="21"/>
          <w:szCs w:val="21"/>
        </w:rPr>
        <w:t xml:space="preserve">Listening to </w:t>
      </w:r>
      <w:r>
        <w:rPr>
          <w:rStyle w:val="Strong"/>
          <w:rFonts w:ascii="Verdana" w:eastAsia="Times New Roman" w:hAnsi="Verdana"/>
          <w:sz w:val="21"/>
          <w:szCs w:val="21"/>
        </w:rPr>
        <w:t>downloaded music</w:t>
      </w:r>
      <w:r>
        <w:rPr>
          <w:rFonts w:ascii="Verdana" w:eastAsia="Times New Roman" w:hAnsi="Verdana"/>
          <w:sz w:val="21"/>
          <w:szCs w:val="21"/>
        </w:rPr>
        <w:t xml:space="preserve"> on a computer, MP3 player, etc.</w:t>
      </w:r>
    </w:p>
    <w:p w:rsidR="00E2400B" w:rsidRDefault="00E2400B" w:rsidP="00E2400B">
      <w:pPr>
        <w:numPr>
          <w:ilvl w:val="0"/>
          <w:numId w:val="9"/>
        </w:numPr>
        <w:spacing w:before="100" w:beforeAutospacing="1" w:after="100" w:afterAutospacing="1"/>
        <w:rPr>
          <w:rFonts w:eastAsia="Times New Roman"/>
        </w:rPr>
      </w:pPr>
      <w:r>
        <w:rPr>
          <w:rFonts w:ascii="Verdana" w:eastAsia="Times New Roman" w:hAnsi="Verdana"/>
          <w:sz w:val="21"/>
          <w:szCs w:val="21"/>
        </w:rPr>
        <w:t xml:space="preserve">Listening to </w:t>
      </w:r>
      <w:r>
        <w:rPr>
          <w:rStyle w:val="Strong"/>
          <w:rFonts w:ascii="Verdana" w:eastAsia="Times New Roman" w:hAnsi="Verdana"/>
          <w:sz w:val="21"/>
          <w:szCs w:val="21"/>
        </w:rPr>
        <w:t>music on CDs</w:t>
      </w:r>
      <w:r>
        <w:rPr>
          <w:rFonts w:ascii="Verdana" w:eastAsia="Times New Roman" w:hAnsi="Verdana"/>
          <w:sz w:val="21"/>
          <w:szCs w:val="21"/>
        </w:rPr>
        <w:t>, cassette tapes, DVD audio discs, records, etc.</w:t>
      </w:r>
    </w:p>
    <w:p w:rsidR="00E2400B" w:rsidRDefault="00E2400B" w:rsidP="00E2400B">
      <w:pPr>
        <w:pStyle w:val="NormalWeb"/>
      </w:pPr>
      <w:r>
        <w:t> </w:t>
      </w:r>
    </w:p>
    <w:p w:rsidR="00E2400B" w:rsidRDefault="00E2400B" w:rsidP="00E2400B">
      <w:r>
        <w:br w:type="textWrapping" w:clear="all"/>
      </w:r>
    </w:p>
    <w:tbl>
      <w:tblPr>
        <w:tblW w:w="9600" w:type="dxa"/>
        <w:jc w:val="center"/>
        <w:tblCellSpacing w:w="0" w:type="dxa"/>
        <w:tblBorders>
          <w:top w:val="single" w:sz="8" w:space="0" w:color="BBBBBB"/>
          <w:left w:val="single" w:sz="8" w:space="0" w:color="BBBBBB"/>
          <w:bottom w:val="single" w:sz="8" w:space="0" w:color="BBBBBB"/>
          <w:right w:val="single" w:sz="8" w:space="0" w:color="BBBBBB"/>
        </w:tblBorders>
        <w:shd w:val="clear" w:color="auto" w:fill="FFFFFF"/>
        <w:tblCellMar>
          <w:left w:w="0" w:type="dxa"/>
          <w:right w:w="0" w:type="dxa"/>
        </w:tblCellMar>
        <w:tblLook w:val="04A0"/>
      </w:tblPr>
      <w:tblGrid>
        <w:gridCol w:w="9600"/>
      </w:tblGrid>
      <w:tr w:rsidR="00E2400B" w:rsidTr="00E2400B">
        <w:trPr>
          <w:tblCellSpacing w:w="0" w:type="dxa"/>
          <w:jc w:val="center"/>
        </w:trPr>
        <w:tc>
          <w:tcPr>
            <w:tcW w:w="0" w:type="auto"/>
            <w:tcBorders>
              <w:top w:val="nil"/>
              <w:left w:val="nil"/>
              <w:bottom w:val="nil"/>
              <w:right w:val="nil"/>
            </w:tcBorders>
            <w:shd w:val="clear" w:color="auto" w:fill="FFFFFF"/>
            <w:tcMar>
              <w:top w:w="270" w:type="dxa"/>
              <w:left w:w="270" w:type="dxa"/>
              <w:bottom w:w="270" w:type="dxa"/>
              <w:right w:w="270" w:type="dxa"/>
            </w:tcMar>
            <w:vAlign w:val="center"/>
            <w:hideMark/>
          </w:tcPr>
          <w:p w:rsidR="00E2400B" w:rsidRDefault="00E2400B">
            <w:r>
              <w:rPr>
                <w:rFonts w:ascii="Arial" w:hAnsi="Arial" w:cs="Arial"/>
                <w:color w:val="444444"/>
                <w:sz w:val="17"/>
                <w:szCs w:val="17"/>
              </w:rPr>
              <w:t xml:space="preserve">This message was sent to you by </w:t>
            </w:r>
            <w:hyperlink r:id="rId11" w:history="1">
              <w:r>
                <w:rPr>
                  <w:rStyle w:val="Hyperlink"/>
                  <w:rFonts w:ascii="Arial" w:hAnsi="Arial" w:cs="Arial"/>
                  <w:color w:val="0000EE"/>
                  <w:sz w:val="17"/>
                  <w:szCs w:val="17"/>
                </w:rPr>
                <w:t xml:space="preserve">Hill Strategies / Hill </w:t>
              </w:r>
              <w:proofErr w:type="spellStart"/>
              <w:r>
                <w:rPr>
                  <w:rStyle w:val="Hyperlink"/>
                  <w:rFonts w:ascii="Arial" w:hAnsi="Arial" w:cs="Arial"/>
                  <w:color w:val="0000EE"/>
                  <w:sz w:val="17"/>
                  <w:szCs w:val="17"/>
                </w:rPr>
                <w:t>Stratégies</w:t>
              </w:r>
              <w:proofErr w:type="spellEnd"/>
            </w:hyperlink>
            <w:r>
              <w:rPr>
                <w:rFonts w:ascii="Arial" w:hAnsi="Arial" w:cs="Arial"/>
                <w:color w:val="444444"/>
                <w:sz w:val="17"/>
                <w:szCs w:val="17"/>
              </w:rPr>
              <w:br/>
            </w:r>
            <w:r>
              <w:rPr>
                <w:rFonts w:ascii="Arial" w:hAnsi="Arial" w:cs="Arial"/>
                <w:color w:val="444444"/>
                <w:sz w:val="17"/>
                <w:szCs w:val="17"/>
              </w:rPr>
              <w:br/>
              <w:t>Hamilton, ON</w:t>
            </w:r>
            <w:r>
              <w:rPr>
                <w:rFonts w:ascii="Arial" w:hAnsi="Arial" w:cs="Arial"/>
                <w:color w:val="444444"/>
                <w:sz w:val="17"/>
                <w:szCs w:val="17"/>
              </w:rPr>
              <w:br/>
              <w:t>L8P2A1</w:t>
            </w:r>
            <w:r>
              <w:rPr>
                <w:rFonts w:ascii="Arial" w:hAnsi="Arial" w:cs="Arial"/>
                <w:color w:val="444444"/>
                <w:sz w:val="17"/>
                <w:szCs w:val="17"/>
              </w:rPr>
              <w:br/>
            </w:r>
            <w:r>
              <w:rPr>
                <w:rFonts w:ascii="Arial" w:hAnsi="Arial" w:cs="Arial"/>
                <w:color w:val="444444"/>
                <w:sz w:val="17"/>
                <w:szCs w:val="17"/>
              </w:rPr>
              <w:br/>
              <w:t xml:space="preserve">You can change your </w:t>
            </w:r>
            <w:hyperlink r:id="rId12" w:history="1">
              <w:r>
                <w:rPr>
                  <w:rStyle w:val="Hyperlink"/>
                  <w:rFonts w:ascii="Arial" w:hAnsi="Arial" w:cs="Arial"/>
                  <w:color w:val="0000EE"/>
                  <w:sz w:val="17"/>
                  <w:szCs w:val="17"/>
                </w:rPr>
                <w:t>communication preferences</w:t>
              </w:r>
            </w:hyperlink>
            <w:r>
              <w:rPr>
                <w:rFonts w:ascii="Arial" w:hAnsi="Arial" w:cs="Arial"/>
                <w:color w:val="444444"/>
                <w:sz w:val="17"/>
                <w:szCs w:val="17"/>
              </w:rPr>
              <w:t xml:space="preserve"> or you can </w:t>
            </w:r>
            <w:hyperlink r:id="rId13" w:history="1">
              <w:r>
                <w:rPr>
                  <w:rStyle w:val="Hyperlink"/>
                  <w:rFonts w:ascii="Arial" w:hAnsi="Arial" w:cs="Arial"/>
                  <w:color w:val="0000EE"/>
                  <w:sz w:val="17"/>
                  <w:szCs w:val="17"/>
                </w:rPr>
                <w:t>unsubscribe</w:t>
              </w:r>
            </w:hyperlink>
            <w:r>
              <w:rPr>
                <w:rFonts w:ascii="Arial" w:hAnsi="Arial" w:cs="Arial"/>
                <w:color w:val="444444"/>
                <w:sz w:val="17"/>
                <w:szCs w:val="17"/>
              </w:rPr>
              <w:t xml:space="preserve"> from future mailings.</w:t>
            </w:r>
          </w:p>
        </w:tc>
      </w:tr>
    </w:tbl>
    <w:p w:rsidR="00E2400B" w:rsidRDefault="00E2400B" w:rsidP="00E2400B"/>
    <w:p w:rsidR="00657133" w:rsidRDefault="00657133"/>
    <w:sectPr w:rsidR="00657133" w:rsidSect="006571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B9A"/>
    <w:multiLevelType w:val="multilevel"/>
    <w:tmpl w:val="2F927C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634FE7"/>
    <w:multiLevelType w:val="multilevel"/>
    <w:tmpl w:val="40CC52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C256E9"/>
    <w:multiLevelType w:val="multilevel"/>
    <w:tmpl w:val="E49A8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8352C4"/>
    <w:multiLevelType w:val="multilevel"/>
    <w:tmpl w:val="001EDD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F01341"/>
    <w:multiLevelType w:val="multilevel"/>
    <w:tmpl w:val="A47841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964D90"/>
    <w:multiLevelType w:val="multilevel"/>
    <w:tmpl w:val="BB764C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D450EBB"/>
    <w:multiLevelType w:val="multilevel"/>
    <w:tmpl w:val="B08EA8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A926966"/>
    <w:multiLevelType w:val="multilevel"/>
    <w:tmpl w:val="97D092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F3731C8"/>
    <w:multiLevelType w:val="multilevel"/>
    <w:tmpl w:val="01CA1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00B"/>
    <w:rsid w:val="00657133"/>
    <w:rsid w:val="00E2400B"/>
    <w:rsid w:val="00F44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0B"/>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E2400B"/>
    <w:pPr>
      <w:spacing w:before="100" w:beforeAutospacing="1" w:after="100" w:afterAutospacing="1"/>
      <w:outlineLvl w:val="3"/>
    </w:pPr>
    <w:rPr>
      <w:b/>
      <w:bCs/>
    </w:rPr>
  </w:style>
  <w:style w:type="paragraph" w:styleId="Heading5">
    <w:name w:val="heading 5"/>
    <w:basedOn w:val="Normal"/>
    <w:link w:val="Heading5Char"/>
    <w:uiPriority w:val="9"/>
    <w:semiHidden/>
    <w:unhideWhenUsed/>
    <w:qFormat/>
    <w:rsid w:val="00E2400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2400B"/>
    <w:rPr>
      <w:rFonts w:ascii="Times New Roman" w:hAnsi="Times New Roman" w:cs="Times New Roman"/>
      <w:b/>
      <w:bCs/>
      <w:sz w:val="24"/>
      <w:szCs w:val="24"/>
    </w:rPr>
  </w:style>
  <w:style w:type="character" w:customStyle="1" w:styleId="Heading5Char">
    <w:name w:val="Heading 5 Char"/>
    <w:basedOn w:val="DefaultParagraphFont"/>
    <w:link w:val="Heading5"/>
    <w:uiPriority w:val="9"/>
    <w:semiHidden/>
    <w:rsid w:val="00E2400B"/>
    <w:rPr>
      <w:rFonts w:ascii="Times New Roman" w:hAnsi="Times New Roman" w:cs="Times New Roman"/>
      <w:b/>
      <w:bCs/>
      <w:sz w:val="20"/>
      <w:szCs w:val="20"/>
    </w:rPr>
  </w:style>
  <w:style w:type="character" w:styleId="Hyperlink">
    <w:name w:val="Hyperlink"/>
    <w:basedOn w:val="DefaultParagraphFont"/>
    <w:uiPriority w:val="99"/>
    <w:semiHidden/>
    <w:unhideWhenUsed/>
    <w:rsid w:val="00E2400B"/>
    <w:rPr>
      <w:color w:val="0000FF"/>
      <w:u w:val="single"/>
    </w:rPr>
  </w:style>
  <w:style w:type="paragraph" w:styleId="NormalWeb">
    <w:name w:val="Normal (Web)"/>
    <w:basedOn w:val="Normal"/>
    <w:uiPriority w:val="99"/>
    <w:semiHidden/>
    <w:unhideWhenUsed/>
    <w:rsid w:val="00E2400B"/>
    <w:pPr>
      <w:spacing w:before="100" w:beforeAutospacing="1" w:after="100" w:afterAutospacing="1"/>
    </w:pPr>
  </w:style>
  <w:style w:type="character" w:styleId="Strong">
    <w:name w:val="Strong"/>
    <w:basedOn w:val="DefaultParagraphFont"/>
    <w:uiPriority w:val="22"/>
    <w:qFormat/>
    <w:rsid w:val="00E2400B"/>
    <w:rPr>
      <w:b/>
      <w:bCs/>
    </w:rPr>
  </w:style>
  <w:style w:type="character" w:styleId="Emphasis">
    <w:name w:val="Emphasis"/>
    <w:basedOn w:val="DefaultParagraphFont"/>
    <w:uiPriority w:val="20"/>
    <w:qFormat/>
    <w:rsid w:val="00E2400B"/>
    <w:rPr>
      <w:i/>
      <w:iCs/>
    </w:rPr>
  </w:style>
  <w:style w:type="paragraph" w:styleId="BalloonText">
    <w:name w:val="Balloon Text"/>
    <w:basedOn w:val="Normal"/>
    <w:link w:val="BalloonTextChar"/>
    <w:uiPriority w:val="99"/>
    <w:semiHidden/>
    <w:unhideWhenUsed/>
    <w:rsid w:val="00E2400B"/>
    <w:rPr>
      <w:rFonts w:ascii="Tahoma" w:hAnsi="Tahoma" w:cs="Tahoma"/>
      <w:sz w:val="16"/>
      <w:szCs w:val="16"/>
    </w:rPr>
  </w:style>
  <w:style w:type="character" w:customStyle="1" w:styleId="BalloonTextChar">
    <w:name w:val="Balloon Text Char"/>
    <w:basedOn w:val="DefaultParagraphFont"/>
    <w:link w:val="BalloonText"/>
    <w:uiPriority w:val="99"/>
    <w:semiHidden/>
    <w:rsid w:val="00E24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1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illstrategies.com/" TargetMode="External"/><Relationship Id="rId13" Type="http://schemas.openxmlformats.org/officeDocument/2006/relationships/hyperlink" Target="http://www.bettermail.ca/p/30/744033/9129dfbbdfb878eca8fdbbe598ecab3b/2"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bettermail.ca/p/30/744033/9129dfbbdfb878eca8fdbbe598ecab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illstrategies.com" TargetMode="External"/><Relationship Id="rId11" Type="http://schemas.openxmlformats.org/officeDocument/2006/relationships/hyperlink" Target="http://www.hillstrategies.com" TargetMode="External"/><Relationship Id="rId5" Type="http://schemas.openxmlformats.org/officeDocument/2006/relationships/hyperlink" Target="http://www.bouldercountyarts.org"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2309</Words>
  <Characters>13163</Characters>
  <Application>Microsoft Office Word</Application>
  <DocSecurity>0</DocSecurity>
  <Lines>109</Lines>
  <Paragraphs>30</Paragraphs>
  <ScaleCrop>false</ScaleCrop>
  <Company> </Company>
  <LinksUpToDate>false</LinksUpToDate>
  <CharactersWithSpaces>15442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2013-02-01T23:32:00Z</dcterms:created>
  <dcterms:modified xsi:type="dcterms:W3CDTF">2013-02-01T23:33:00Z</dcterms:modified>
</cp:coreProperties>
</file>